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E1A6C" w:rsidRPr="004E1A6C" w14:paraId="42D91892" w14:textId="77777777" w:rsidTr="7D28183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A8225F9" w14:textId="77777777" w:rsidR="007868FB" w:rsidRPr="004E1A6C" w:rsidRDefault="007868FB"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F7B4A0" w14:textId="77777777" w:rsidR="007868FB" w:rsidRPr="004E1A6C" w:rsidRDefault="00A8067F"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BANK</w:t>
            </w:r>
            <w:r w:rsidR="00337743" w:rsidRPr="004E1A6C">
              <w:rPr>
                <w:rFonts w:ascii="Arial" w:hAnsi="Arial" w:cs="Arial"/>
                <w:b/>
                <w:sz w:val="20"/>
                <w:szCs w:val="20"/>
                <w:lang w:val="en-GB"/>
              </w:rPr>
              <w:t xml:space="preserve">ING </w:t>
            </w:r>
          </w:p>
        </w:tc>
      </w:tr>
      <w:tr w:rsidR="004E1A6C" w:rsidRPr="004E1A6C" w14:paraId="0710A6E1"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1D906698" w14:textId="77777777" w:rsidR="007868FB" w:rsidRPr="004E1A6C" w:rsidRDefault="007868FB" w:rsidP="00CD3956">
            <w:pPr>
              <w:spacing w:after="0" w:line="240" w:lineRule="auto"/>
              <w:rPr>
                <w:rStyle w:val="Strong"/>
                <w:rFonts w:ascii="Arial" w:hAnsi="Arial" w:cs="Arial"/>
                <w:b w:val="0"/>
                <w:sz w:val="20"/>
                <w:szCs w:val="20"/>
                <w:lang w:val="en-GB"/>
              </w:rPr>
            </w:pPr>
            <w:r w:rsidRPr="004E1A6C">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7BC889F"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rPr>
              <w:t>EUB</w:t>
            </w:r>
            <w:r w:rsidR="00B033EC" w:rsidRPr="004E1A6C">
              <w:rPr>
                <w:rFonts w:ascii="Arial" w:hAnsi="Arial" w:cs="Arial"/>
                <w:sz w:val="20"/>
                <w:szCs w:val="20"/>
              </w:rPr>
              <w:t>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6D20678"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24EE0BD"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lang w:val="en-GB"/>
              </w:rPr>
              <w:t>2.</w:t>
            </w:r>
          </w:p>
        </w:tc>
      </w:tr>
      <w:tr w:rsidR="004E1A6C" w:rsidRPr="004E1A6C" w14:paraId="0AC7ED8B"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24DEAEA7"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DDEF6E4"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Associate</w:t>
            </w:r>
            <w:r w:rsidR="00B033EC" w:rsidRPr="004E1A6C">
              <w:rPr>
                <w:rFonts w:ascii="Arial" w:hAnsi="Arial" w:cs="Arial"/>
                <w:sz w:val="20"/>
                <w:szCs w:val="20"/>
                <w:lang w:val="en-GB"/>
              </w:rPr>
              <w:t xml:space="preserve"> </w:t>
            </w:r>
            <w:r w:rsidRPr="004E1A6C">
              <w:rPr>
                <w:rFonts w:ascii="Arial" w:hAnsi="Arial" w:cs="Arial"/>
                <w:sz w:val="20"/>
                <w:szCs w:val="20"/>
                <w:lang w:val="en-GB"/>
              </w:rPr>
              <w:t>p</w:t>
            </w:r>
            <w:r w:rsidR="00B033EC" w:rsidRPr="004E1A6C">
              <w:rPr>
                <w:rFonts w:ascii="Arial" w:hAnsi="Arial" w:cs="Arial"/>
                <w:sz w:val="20"/>
                <w:szCs w:val="20"/>
                <w:lang w:val="en-GB"/>
              </w:rPr>
              <w:t>rofessor Ana Kundid Novokmet, PhD</w:t>
            </w:r>
          </w:p>
          <w:p w14:paraId="3DB24179" w14:textId="77777777" w:rsidR="007868FB"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 xml:space="preserve">Full professor </w:t>
            </w:r>
            <w:proofErr w:type="spellStart"/>
            <w:r w:rsidRPr="004E1A6C">
              <w:rPr>
                <w:rFonts w:ascii="Arial" w:hAnsi="Arial" w:cs="Arial"/>
                <w:sz w:val="20"/>
                <w:szCs w:val="20"/>
                <w:lang w:val="en-GB"/>
              </w:rPr>
              <w:t>Marijana</w:t>
            </w:r>
            <w:proofErr w:type="spellEnd"/>
            <w:r w:rsidRPr="004E1A6C">
              <w:rPr>
                <w:rFonts w:ascii="Arial" w:hAnsi="Arial" w:cs="Arial"/>
                <w:sz w:val="20"/>
                <w:szCs w:val="20"/>
                <w:lang w:val="en-GB"/>
              </w:rPr>
              <w:t xml:space="preserve"> </w:t>
            </w:r>
            <w:proofErr w:type="spellStart"/>
            <w:r w:rsidRPr="004E1A6C">
              <w:rPr>
                <w:rFonts w:ascii="Arial" w:hAnsi="Arial" w:cs="Arial"/>
                <w:sz w:val="20"/>
                <w:szCs w:val="20"/>
                <w:lang w:val="en-GB"/>
              </w:rPr>
              <w:t>Ćurak</w:t>
            </w:r>
            <w:proofErr w:type="spellEnd"/>
            <w:r w:rsidRPr="004E1A6C">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86A515"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A780693" w14:textId="77777777" w:rsidR="00A8067F" w:rsidRPr="004E1A6C" w:rsidRDefault="00A8067F" w:rsidP="00CD3956">
            <w:pPr>
              <w:spacing w:after="0" w:line="240" w:lineRule="auto"/>
              <w:rPr>
                <w:rFonts w:ascii="Arial" w:hAnsi="Arial" w:cs="Arial"/>
                <w:sz w:val="20"/>
                <w:szCs w:val="20"/>
                <w:lang w:val="en-GB"/>
              </w:rPr>
            </w:pPr>
          </w:p>
          <w:p w14:paraId="09A0F745" w14:textId="77777777" w:rsidR="007F518E" w:rsidRPr="004E1A6C" w:rsidRDefault="007F518E" w:rsidP="00CD3956">
            <w:pPr>
              <w:spacing w:after="0" w:line="240" w:lineRule="auto"/>
              <w:rPr>
                <w:rFonts w:ascii="Arial" w:hAnsi="Arial" w:cs="Arial"/>
                <w:sz w:val="20"/>
                <w:szCs w:val="20"/>
                <w:lang w:val="en-GB"/>
              </w:rPr>
            </w:pPr>
          </w:p>
          <w:p w14:paraId="7F3AB893"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4</w:t>
            </w:r>
          </w:p>
        </w:tc>
      </w:tr>
      <w:tr w:rsidR="004E1A6C" w:rsidRPr="004E1A6C" w14:paraId="1ABF51CA" w14:textId="77777777" w:rsidTr="7D28183D">
        <w:trPr>
          <w:trHeight w:val="345"/>
        </w:trPr>
        <w:tc>
          <w:tcPr>
            <w:tcW w:w="1912" w:type="dxa"/>
            <w:vMerge w:val="restart"/>
            <w:tcBorders>
              <w:left w:val="single" w:sz="12" w:space="0" w:color="auto"/>
            </w:tcBorders>
            <w:shd w:val="clear" w:color="auto" w:fill="CCFFFF"/>
            <w:tcMar>
              <w:left w:w="57" w:type="dxa"/>
              <w:right w:w="57" w:type="dxa"/>
            </w:tcMar>
            <w:vAlign w:val="center"/>
          </w:tcPr>
          <w:p w14:paraId="32F0B700"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7A95C1B" w14:textId="77777777" w:rsidR="00F517F0" w:rsidRPr="004E1A6C" w:rsidRDefault="00F517F0" w:rsidP="00CD3956">
            <w:pPr>
              <w:spacing w:after="0" w:line="240" w:lineRule="auto"/>
              <w:rPr>
                <w:rFonts w:ascii="Arial" w:hAnsi="Arial" w:cs="Arial"/>
                <w:sz w:val="20"/>
                <w:szCs w:val="20"/>
                <w:lang w:val="en-GB"/>
              </w:rPr>
            </w:pPr>
          </w:p>
          <w:p w14:paraId="173F613C" w14:textId="77777777" w:rsidR="007868FB" w:rsidRPr="000D4994" w:rsidRDefault="00F517F0" w:rsidP="00CD3956">
            <w:pPr>
              <w:spacing w:after="0" w:line="240" w:lineRule="auto"/>
              <w:rPr>
                <w:rFonts w:ascii="Arial" w:hAnsi="Arial" w:cs="Arial"/>
                <w:strike/>
                <w:sz w:val="20"/>
                <w:szCs w:val="20"/>
                <w:lang w:val="en-GB"/>
              </w:rPr>
            </w:pPr>
            <w:proofErr w:type="spellStart"/>
            <w:r w:rsidRPr="000D4994">
              <w:rPr>
                <w:rFonts w:ascii="Arial" w:hAnsi="Arial" w:cs="Arial"/>
                <w:strike/>
                <w:color w:val="FF0000"/>
                <w:sz w:val="20"/>
                <w:szCs w:val="20"/>
                <w:lang w:val="en-GB"/>
              </w:rPr>
              <w:t>Dujam</w:t>
            </w:r>
            <w:proofErr w:type="spellEnd"/>
            <w:r w:rsidRPr="000D4994">
              <w:rPr>
                <w:rFonts w:ascii="Arial" w:hAnsi="Arial" w:cs="Arial"/>
                <w:strike/>
                <w:color w:val="FF0000"/>
                <w:sz w:val="20"/>
                <w:szCs w:val="20"/>
                <w:lang w:val="en-GB"/>
              </w:rPr>
              <w:t xml:space="preserve"> </w:t>
            </w:r>
            <w:proofErr w:type="spellStart"/>
            <w:r w:rsidRPr="000D4994">
              <w:rPr>
                <w:rFonts w:ascii="Arial" w:hAnsi="Arial" w:cs="Arial"/>
                <w:strike/>
                <w:color w:val="FF0000"/>
                <w:sz w:val="20"/>
                <w:szCs w:val="20"/>
                <w:lang w:val="en-GB"/>
              </w:rPr>
              <w:t>Kovač</w:t>
            </w:r>
            <w:proofErr w:type="spellEnd"/>
            <w:r w:rsidRPr="000D4994">
              <w:rPr>
                <w:rFonts w:ascii="Arial" w:hAnsi="Arial" w:cs="Arial"/>
                <w:strike/>
                <w:color w:val="FF0000"/>
                <w:sz w:val="20"/>
                <w:szCs w:val="20"/>
                <w:lang w:val="en-GB"/>
              </w:rPr>
              <w:t xml:space="preserve">, mag. </w:t>
            </w:r>
            <w:proofErr w:type="spellStart"/>
            <w:r w:rsidRPr="000D4994">
              <w:rPr>
                <w:rFonts w:ascii="Arial" w:hAnsi="Arial" w:cs="Arial"/>
                <w:strike/>
                <w:color w:val="FF0000"/>
                <w:sz w:val="20"/>
                <w:szCs w:val="20"/>
                <w:lang w:val="en-GB"/>
              </w:rPr>
              <w:t>oec</w:t>
            </w:r>
            <w:proofErr w:type="spellEnd"/>
            <w:r w:rsidRPr="000D4994">
              <w:rPr>
                <w:rFonts w:ascii="Arial" w:hAnsi="Arial" w:cs="Arial"/>
                <w:strike/>
                <w:color w:val="FF0000"/>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82041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7E33F78"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406AE1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F519DD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9213A1D"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F</w:t>
            </w:r>
          </w:p>
        </w:tc>
      </w:tr>
      <w:tr w:rsidR="004E1A6C" w:rsidRPr="004E1A6C" w14:paraId="16F31305" w14:textId="77777777" w:rsidTr="7D28183D">
        <w:trPr>
          <w:trHeight w:val="345"/>
        </w:trPr>
        <w:tc>
          <w:tcPr>
            <w:tcW w:w="1912" w:type="dxa"/>
            <w:vMerge/>
            <w:tcMar>
              <w:left w:w="57" w:type="dxa"/>
              <w:right w:w="57" w:type="dxa"/>
            </w:tcMar>
            <w:vAlign w:val="center"/>
          </w:tcPr>
          <w:p w14:paraId="38B17166" w14:textId="77777777" w:rsidR="007868FB" w:rsidRPr="004E1A6C" w:rsidRDefault="007868FB" w:rsidP="00CD3956">
            <w:pPr>
              <w:spacing w:after="0" w:line="240" w:lineRule="auto"/>
              <w:rPr>
                <w:rFonts w:ascii="Arial" w:hAnsi="Arial" w:cs="Arial"/>
                <w:sz w:val="20"/>
                <w:szCs w:val="20"/>
                <w:lang w:val="en-GB"/>
              </w:rPr>
            </w:pPr>
          </w:p>
        </w:tc>
        <w:tc>
          <w:tcPr>
            <w:tcW w:w="2502" w:type="dxa"/>
            <w:gridSpan w:val="4"/>
            <w:vMerge/>
            <w:tcMar>
              <w:left w:w="57" w:type="dxa"/>
              <w:right w:w="57" w:type="dxa"/>
            </w:tcMar>
          </w:tcPr>
          <w:p w14:paraId="0A5826AE" w14:textId="77777777" w:rsidR="007868FB" w:rsidRPr="004E1A6C" w:rsidRDefault="007868FB" w:rsidP="00CD395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2D0A5C4" w14:textId="77777777" w:rsidR="007868FB" w:rsidRPr="004E1A6C" w:rsidRDefault="007868FB" w:rsidP="00CD395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74581F"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F658A49" w14:textId="77777777" w:rsidR="007868FB" w:rsidRPr="004E1A6C" w:rsidRDefault="007868FB" w:rsidP="00CD3956">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4576D102" w14:textId="77777777" w:rsidR="007868FB" w:rsidRPr="004E1A6C" w:rsidRDefault="006962AE" w:rsidP="006962AE">
            <w:pPr>
              <w:spacing w:after="0" w:line="240" w:lineRule="auto"/>
              <w:jc w:val="center"/>
              <w:rPr>
                <w:rFonts w:ascii="Arial" w:hAnsi="Arial" w:cs="Arial"/>
                <w:sz w:val="20"/>
                <w:szCs w:val="20"/>
                <w:lang w:val="en-GB"/>
              </w:rPr>
            </w:pPr>
            <w:r w:rsidRPr="004E1A6C">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7A3D264B" w14:textId="77777777" w:rsidR="007868FB" w:rsidRPr="004E1A6C" w:rsidRDefault="007868FB" w:rsidP="00CD3956">
            <w:pPr>
              <w:spacing w:after="0" w:line="240" w:lineRule="auto"/>
              <w:rPr>
                <w:rFonts w:ascii="Arial" w:hAnsi="Arial" w:cs="Arial"/>
                <w:sz w:val="20"/>
                <w:szCs w:val="20"/>
                <w:lang w:val="en-GB"/>
              </w:rPr>
            </w:pPr>
          </w:p>
        </w:tc>
      </w:tr>
      <w:tr w:rsidR="004E1A6C" w:rsidRPr="004E1A6C" w14:paraId="24486806"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062D5F64"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5B13820"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E</w:t>
            </w:r>
            <w:r w:rsidR="00A8067F" w:rsidRPr="004E1A6C">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C2F15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B0E4DB"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30</w:t>
            </w:r>
            <w:r w:rsidR="00A8067F" w:rsidRPr="004E1A6C">
              <w:rPr>
                <w:rFonts w:ascii="Arial" w:hAnsi="Arial" w:cs="Arial"/>
                <w:sz w:val="20"/>
                <w:szCs w:val="20"/>
                <w:lang w:val="en-GB"/>
              </w:rPr>
              <w:t>%</w:t>
            </w:r>
          </w:p>
        </w:tc>
      </w:tr>
      <w:tr w:rsidR="004E1A6C" w:rsidRPr="004E1A6C" w14:paraId="7E17D412" w14:textId="77777777" w:rsidTr="7D28183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CB6614" w14:textId="77777777" w:rsidR="007868FB" w:rsidRPr="004E1A6C" w:rsidRDefault="007868FB" w:rsidP="00CD3956">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COURSE DESCRIPTION</w:t>
            </w:r>
          </w:p>
        </w:tc>
      </w:tr>
      <w:tr w:rsidR="004E1A6C" w:rsidRPr="004E1A6C" w14:paraId="72BB43B2"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732FA95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7FDFD9" w14:textId="77777777" w:rsidR="007868FB"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To enable students to identify the significance and characteristics of banking intermediation, </w:t>
            </w:r>
            <w:r w:rsidR="00CD3956" w:rsidRPr="004E1A6C">
              <w:rPr>
                <w:rFonts w:ascii="Arial" w:hAnsi="Arial" w:cs="Arial"/>
                <w:sz w:val="20"/>
                <w:szCs w:val="20"/>
                <w:lang w:val="en-GB"/>
              </w:rPr>
              <w:t>analyse</w:t>
            </w:r>
            <w:r w:rsidRPr="004E1A6C">
              <w:rPr>
                <w:rFonts w:ascii="Arial" w:hAnsi="Arial" w:cs="Arial"/>
                <w:sz w:val="20"/>
                <w:szCs w:val="20"/>
                <w:lang w:val="en-GB"/>
              </w:rPr>
              <w:t xml:space="preserve"> the composition of the bank balance sheet, and classify and present banking activities.</w:t>
            </w:r>
          </w:p>
        </w:tc>
      </w:tr>
      <w:tr w:rsidR="004E1A6C" w:rsidRPr="004E1A6C" w14:paraId="61B0F298" w14:textId="77777777" w:rsidTr="7D28183D">
        <w:tc>
          <w:tcPr>
            <w:tcW w:w="1912" w:type="dxa"/>
            <w:tcBorders>
              <w:left w:val="single" w:sz="12" w:space="0" w:color="auto"/>
            </w:tcBorders>
            <w:shd w:val="clear" w:color="auto" w:fill="CCFFFF"/>
            <w:tcMar>
              <w:left w:w="57" w:type="dxa"/>
              <w:right w:w="57" w:type="dxa"/>
            </w:tcMar>
            <w:vAlign w:val="center"/>
          </w:tcPr>
          <w:p w14:paraId="152108E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5EC4CF" w14:textId="77777777" w:rsidR="007868FB" w:rsidRPr="004E1A6C" w:rsidRDefault="00A8067F"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E1A6C" w:rsidRPr="004E1A6C" w14:paraId="577CE76B" w14:textId="77777777" w:rsidTr="7D28183D">
        <w:tc>
          <w:tcPr>
            <w:tcW w:w="1912" w:type="dxa"/>
            <w:tcBorders>
              <w:left w:val="single" w:sz="12" w:space="0" w:color="auto"/>
            </w:tcBorders>
            <w:shd w:val="clear" w:color="auto" w:fill="CCFFFF"/>
            <w:tcMar>
              <w:left w:w="57" w:type="dxa"/>
              <w:right w:w="57" w:type="dxa"/>
            </w:tcMar>
            <w:vAlign w:val="center"/>
          </w:tcPr>
          <w:p w14:paraId="5C57904D"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47C712"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Course learning outcome:</w:t>
            </w:r>
          </w:p>
          <w:p w14:paraId="2AACC300" w14:textId="77777777" w:rsidR="00C67895"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Present the types and characteristics of bank activities and comment on the role of banks in the economy.</w:t>
            </w:r>
          </w:p>
          <w:p w14:paraId="40C19916" w14:textId="77777777" w:rsidR="00C67895" w:rsidRPr="004E1A6C" w:rsidRDefault="00C67895" w:rsidP="00CD3956">
            <w:pPr>
              <w:spacing w:after="0" w:line="240" w:lineRule="auto"/>
              <w:ind w:left="360"/>
              <w:jc w:val="both"/>
              <w:rPr>
                <w:rFonts w:ascii="Arial" w:eastAsia="Calibri" w:hAnsi="Arial" w:cs="Arial"/>
                <w:sz w:val="20"/>
                <w:szCs w:val="20"/>
                <w:lang w:val="en-GB"/>
              </w:rPr>
            </w:pPr>
          </w:p>
          <w:p w14:paraId="5E1AC2C6"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Particular learning outcomes:</w:t>
            </w:r>
          </w:p>
          <w:p w14:paraId="43AF0158"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1. Identify the basic starting points of banking intermediation.</w:t>
            </w:r>
          </w:p>
          <w:p w14:paraId="2BD35786"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2. Establish the content of the central bank's operations.</w:t>
            </w:r>
          </w:p>
          <w:p w14:paraId="65D17F40"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3. Present the types and characteristics of banking products from the domain of passive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310BB6B5"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4. Present the types and characteristics of banking products from the domain of active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296D0C48" w14:textId="77777777" w:rsidR="007868FB"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5. Identify the features of other banking </w:t>
            </w:r>
            <w:r w:rsidR="005A3303" w:rsidRPr="004E1A6C">
              <w:rPr>
                <w:rFonts w:ascii="Arial" w:hAnsi="Arial" w:cs="Arial"/>
                <w:sz w:val="20"/>
                <w:szCs w:val="20"/>
                <w:lang w:val="en-GB"/>
              </w:rPr>
              <w:t>activities</w:t>
            </w:r>
            <w:r w:rsidRPr="004E1A6C">
              <w:rPr>
                <w:rFonts w:ascii="Arial" w:hAnsi="Arial" w:cs="Arial"/>
                <w:sz w:val="20"/>
                <w:szCs w:val="20"/>
                <w:lang w:val="en-GB"/>
              </w:rPr>
              <w:t>.</w:t>
            </w:r>
          </w:p>
        </w:tc>
      </w:tr>
      <w:tr w:rsidR="004E1A6C" w:rsidRPr="004E1A6C" w14:paraId="7486710D" w14:textId="77777777" w:rsidTr="7D28183D">
        <w:tc>
          <w:tcPr>
            <w:tcW w:w="1912" w:type="dxa"/>
            <w:tcBorders>
              <w:left w:val="single" w:sz="12" w:space="0" w:color="auto"/>
            </w:tcBorders>
            <w:shd w:val="clear" w:color="auto" w:fill="CCFFFF"/>
            <w:tcMar>
              <w:left w:w="57" w:type="dxa"/>
              <w:right w:w="57" w:type="dxa"/>
            </w:tcMar>
            <w:vAlign w:val="center"/>
          </w:tcPr>
          <w:p w14:paraId="6DC6D5BA"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E1A6C" w:rsidRPr="004E1A6C" w14:paraId="11A6F699"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00222F5" w14:textId="77777777" w:rsidR="00403D38" w:rsidRPr="004E1A6C" w:rsidRDefault="00403D38" w:rsidP="00CD3956">
                  <w:pPr>
                    <w:spacing w:after="0" w:line="240" w:lineRule="auto"/>
                    <w:ind w:left="113" w:right="113"/>
                    <w:jc w:val="center"/>
                    <w:rPr>
                      <w:rFonts w:ascii="Arial" w:hAnsi="Arial" w:cs="Arial"/>
                      <w:sz w:val="20"/>
                      <w:szCs w:val="20"/>
                      <w:lang w:val="en-GB"/>
                    </w:rPr>
                  </w:pPr>
                  <w:r w:rsidRPr="004E1A6C">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6D03B125"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41AFD5B9"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Exercise</w:t>
                  </w:r>
                </w:p>
              </w:tc>
            </w:tr>
            <w:tr w:rsidR="004E1A6C" w:rsidRPr="004E1A6C" w14:paraId="3E6822AB" w14:textId="77777777" w:rsidTr="00403D38">
              <w:trPr>
                <w:cantSplit/>
                <w:trHeight w:val="699"/>
              </w:trPr>
              <w:tc>
                <w:tcPr>
                  <w:tcW w:w="497" w:type="dxa"/>
                  <w:vMerge/>
                  <w:tcBorders>
                    <w:left w:val="single" w:sz="18" w:space="0" w:color="auto"/>
                    <w:right w:val="single" w:sz="18" w:space="0" w:color="auto"/>
                  </w:tcBorders>
                  <w:vAlign w:val="center"/>
                </w:tcPr>
                <w:p w14:paraId="4D4EFDA2" w14:textId="77777777" w:rsidR="00403D38" w:rsidRPr="004E1A6C" w:rsidRDefault="00403D38" w:rsidP="00CD3956">
                  <w:pPr>
                    <w:spacing w:after="0" w:line="240" w:lineRule="auto"/>
                    <w:jc w:val="center"/>
                    <w:rPr>
                      <w:rFonts w:ascii="Arial" w:hAnsi="Arial" w:cs="Arial"/>
                      <w:sz w:val="20"/>
                      <w:szCs w:val="20"/>
                      <w:lang w:val="en-GB"/>
                    </w:rPr>
                  </w:pPr>
                </w:p>
              </w:tc>
              <w:tc>
                <w:tcPr>
                  <w:tcW w:w="2946" w:type="dxa"/>
                  <w:tcBorders>
                    <w:left w:val="single" w:sz="18" w:space="0" w:color="auto"/>
                  </w:tcBorders>
                  <w:vAlign w:val="center"/>
                </w:tcPr>
                <w:p w14:paraId="6A651693"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2" w:type="dxa"/>
                  <w:tcBorders>
                    <w:right w:val="single" w:sz="18" w:space="0" w:color="auto"/>
                  </w:tcBorders>
                  <w:vAlign w:val="center"/>
                </w:tcPr>
                <w:p w14:paraId="432006BB"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c>
                <w:tcPr>
                  <w:tcW w:w="3009" w:type="dxa"/>
                  <w:tcBorders>
                    <w:left w:val="single" w:sz="18" w:space="0" w:color="auto"/>
                  </w:tcBorders>
                  <w:vAlign w:val="center"/>
                </w:tcPr>
                <w:p w14:paraId="3EAEFB0A"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1" w:type="dxa"/>
                  <w:tcBorders>
                    <w:right w:val="single" w:sz="18" w:space="0" w:color="auto"/>
                  </w:tcBorders>
                  <w:vAlign w:val="center"/>
                </w:tcPr>
                <w:p w14:paraId="59E196EF"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r>
            <w:tr w:rsidR="004E1A6C" w:rsidRPr="004E1A6C" w14:paraId="2BEDF783" w14:textId="77777777" w:rsidTr="00772CB5">
              <w:trPr>
                <w:cantSplit/>
              </w:trPr>
              <w:tc>
                <w:tcPr>
                  <w:tcW w:w="497" w:type="dxa"/>
                  <w:tcBorders>
                    <w:left w:val="single" w:sz="18" w:space="0" w:color="auto"/>
                    <w:right w:val="single" w:sz="18" w:space="0" w:color="auto"/>
                  </w:tcBorders>
                  <w:vAlign w:val="center"/>
                </w:tcPr>
                <w:p w14:paraId="3C06DDC7"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1</w:t>
                  </w:r>
                </w:p>
              </w:tc>
              <w:tc>
                <w:tcPr>
                  <w:tcW w:w="2946" w:type="dxa"/>
                  <w:tcBorders>
                    <w:left w:val="single" w:sz="18" w:space="0" w:color="auto"/>
                  </w:tcBorders>
                  <w:vAlign w:val="center"/>
                </w:tcPr>
                <w:p w14:paraId="6E76E518" w14:textId="77777777" w:rsidR="00445ACD"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M</w:t>
                  </w:r>
                  <w:r w:rsidR="00445ACD" w:rsidRPr="004E1A6C">
                    <w:rPr>
                      <w:rFonts w:ascii="Arial" w:hAnsi="Arial" w:cs="Arial"/>
                      <w:sz w:val="20"/>
                      <w:szCs w:val="20"/>
                      <w:lang w:val="en-GB"/>
                    </w:rPr>
                    <w:t>onetary natu</w:t>
                  </w:r>
                  <w:r w:rsidRPr="004E1A6C">
                    <w:rPr>
                      <w:rFonts w:ascii="Arial" w:hAnsi="Arial" w:cs="Arial"/>
                      <w:sz w:val="20"/>
                      <w:szCs w:val="20"/>
                      <w:lang w:val="en-GB"/>
                    </w:rPr>
                    <w:t>re and financial intermediation of banks.</w:t>
                  </w:r>
                  <w:r w:rsidRPr="004E1A6C">
                    <w:t xml:space="preserve"> </w:t>
                  </w:r>
                  <w:r w:rsidRPr="004E1A6C">
                    <w:rPr>
                      <w:rFonts w:ascii="Arial" w:hAnsi="Arial" w:cs="Arial"/>
                      <w:sz w:val="20"/>
                      <w:szCs w:val="20"/>
                      <w:lang w:val="en-GB"/>
                    </w:rPr>
                    <w:t>Contemporary banking business.</w:t>
                  </w:r>
                  <w:r w:rsidRPr="004E1A6C">
                    <w:t xml:space="preserve"> </w:t>
                  </w:r>
                  <w:r w:rsidRPr="004E1A6C">
                    <w:rPr>
                      <w:rFonts w:ascii="Arial" w:hAnsi="Arial" w:cs="Arial"/>
                      <w:sz w:val="20"/>
                      <w:szCs w:val="20"/>
                      <w:lang w:val="en-GB"/>
                    </w:rPr>
                    <w:t>Positioning of banks in financial systems.</w:t>
                  </w:r>
                </w:p>
              </w:tc>
              <w:tc>
                <w:tcPr>
                  <w:tcW w:w="472" w:type="dxa"/>
                  <w:tcBorders>
                    <w:right w:val="single" w:sz="18" w:space="0" w:color="auto"/>
                  </w:tcBorders>
                  <w:vAlign w:val="center"/>
                </w:tcPr>
                <w:p w14:paraId="623FC6B3"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3B699F8"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Information about the course.</w:t>
                  </w:r>
                </w:p>
                <w:p w14:paraId="4F3D89DF"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Discussion on the importance of (studying) banking.</w:t>
                  </w:r>
                </w:p>
                <w:p w14:paraId="06DF147F" w14:textId="77777777" w:rsidR="00445ACD"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Assignment: The basic banking terminology.</w:t>
                  </w:r>
                </w:p>
              </w:tc>
              <w:tc>
                <w:tcPr>
                  <w:tcW w:w="471" w:type="dxa"/>
                  <w:tcBorders>
                    <w:right w:val="single" w:sz="18" w:space="0" w:color="auto"/>
                  </w:tcBorders>
                  <w:vAlign w:val="center"/>
                </w:tcPr>
                <w:p w14:paraId="3721EF81" w14:textId="77777777" w:rsidR="00445ACD" w:rsidRPr="004E1A6C" w:rsidRDefault="00D752B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4A8FFA1" w14:textId="77777777" w:rsidTr="00772CB5">
              <w:trPr>
                <w:cantSplit/>
              </w:trPr>
              <w:tc>
                <w:tcPr>
                  <w:tcW w:w="497" w:type="dxa"/>
                  <w:tcBorders>
                    <w:left w:val="single" w:sz="18" w:space="0" w:color="auto"/>
                    <w:right w:val="single" w:sz="18" w:space="0" w:color="auto"/>
                  </w:tcBorders>
                  <w:vAlign w:val="center"/>
                </w:tcPr>
                <w:p w14:paraId="633D39A6" w14:textId="77777777" w:rsidR="00CD3956" w:rsidRPr="004E1A6C" w:rsidRDefault="00CD3956"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2946" w:type="dxa"/>
                  <w:tcBorders>
                    <w:left w:val="single" w:sz="18" w:space="0" w:color="auto"/>
                  </w:tcBorders>
                  <w:vAlign w:val="center"/>
                </w:tcPr>
                <w:p w14:paraId="3ED98612" w14:textId="77777777" w:rsidR="00CD3956" w:rsidRPr="004E1A6C" w:rsidRDefault="00772CB5" w:rsidP="002C480B">
                  <w:pPr>
                    <w:spacing w:after="0" w:line="240" w:lineRule="auto"/>
                    <w:rPr>
                      <w:rFonts w:ascii="Arial" w:hAnsi="Arial" w:cs="Arial"/>
                      <w:sz w:val="20"/>
                      <w:szCs w:val="20"/>
                      <w:lang w:val="en-GB"/>
                    </w:rPr>
                  </w:pPr>
                  <w:r w:rsidRPr="004E1A6C">
                    <w:rPr>
                      <w:rFonts w:ascii="Arial" w:hAnsi="Arial" w:cs="Arial"/>
                      <w:sz w:val="20"/>
                      <w:szCs w:val="20"/>
                      <w:lang w:val="en-GB"/>
                    </w:rPr>
                    <w:t>Types of financial intermediation by banks.</w:t>
                  </w:r>
                </w:p>
              </w:tc>
              <w:tc>
                <w:tcPr>
                  <w:tcW w:w="472" w:type="dxa"/>
                  <w:tcBorders>
                    <w:right w:val="single" w:sz="18" w:space="0" w:color="auto"/>
                  </w:tcBorders>
                  <w:vAlign w:val="center"/>
                </w:tcPr>
                <w:p w14:paraId="39F9488A" w14:textId="77777777" w:rsidR="00CD3956"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2B60B478" w14:textId="77777777" w:rsidR="00CD3956"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 balance sheet.</w:t>
                  </w:r>
                </w:p>
                <w:p w14:paraId="37F82D5F"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Practical task: Classification of the bank balance sheet items.</w:t>
                  </w:r>
                </w:p>
              </w:tc>
              <w:tc>
                <w:tcPr>
                  <w:tcW w:w="471" w:type="dxa"/>
                  <w:tcBorders>
                    <w:right w:val="single" w:sz="18" w:space="0" w:color="auto"/>
                  </w:tcBorders>
                  <w:vAlign w:val="center"/>
                </w:tcPr>
                <w:p w14:paraId="46F15DD1" w14:textId="77777777" w:rsidR="00CD3956"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7C705C9" w14:textId="77777777" w:rsidTr="00772CB5">
              <w:trPr>
                <w:cantSplit/>
              </w:trPr>
              <w:tc>
                <w:tcPr>
                  <w:tcW w:w="497" w:type="dxa"/>
                  <w:tcBorders>
                    <w:left w:val="single" w:sz="18" w:space="0" w:color="auto"/>
                    <w:right w:val="single" w:sz="18" w:space="0" w:color="auto"/>
                  </w:tcBorders>
                  <w:vAlign w:val="center"/>
                </w:tcPr>
                <w:p w14:paraId="5263A21F" w14:textId="77777777" w:rsidR="00D752BB"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3</w:t>
                  </w:r>
                </w:p>
              </w:tc>
              <w:tc>
                <w:tcPr>
                  <w:tcW w:w="2946" w:type="dxa"/>
                  <w:tcBorders>
                    <w:left w:val="single" w:sz="18" w:space="0" w:color="auto"/>
                  </w:tcBorders>
                  <w:vAlign w:val="center"/>
                </w:tcPr>
                <w:p w14:paraId="534F68E9" w14:textId="77777777" w:rsidR="00D752BB" w:rsidRPr="004E1A6C" w:rsidRDefault="00D752BB" w:rsidP="00B83159">
                  <w:pPr>
                    <w:spacing w:after="0" w:line="240" w:lineRule="auto"/>
                    <w:rPr>
                      <w:rFonts w:ascii="Arial" w:hAnsi="Arial" w:cs="Arial"/>
                      <w:sz w:val="20"/>
                      <w:szCs w:val="20"/>
                      <w:lang w:val="en-GB"/>
                    </w:rPr>
                  </w:pPr>
                  <w:r w:rsidRPr="004E1A6C">
                    <w:rPr>
                      <w:rFonts w:ascii="Arial" w:hAnsi="Arial" w:cs="Arial"/>
                      <w:sz w:val="20"/>
                      <w:szCs w:val="20"/>
                      <w:lang w:val="en-GB"/>
                    </w:rPr>
                    <w:t>Banks against information asymmetry.</w:t>
                  </w:r>
                </w:p>
              </w:tc>
              <w:tc>
                <w:tcPr>
                  <w:tcW w:w="472" w:type="dxa"/>
                  <w:tcBorders>
                    <w:right w:val="single" w:sz="18" w:space="0" w:color="auto"/>
                  </w:tcBorders>
                  <w:vAlign w:val="center"/>
                </w:tcPr>
                <w:p w14:paraId="287890D5"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458FB38"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Discussion of the paper in the field of justification of bank presence on financial markets.</w:t>
                  </w:r>
                </w:p>
              </w:tc>
              <w:tc>
                <w:tcPr>
                  <w:tcW w:w="471" w:type="dxa"/>
                  <w:tcBorders>
                    <w:right w:val="single" w:sz="18" w:space="0" w:color="auto"/>
                  </w:tcBorders>
                  <w:vAlign w:val="center"/>
                </w:tcPr>
                <w:p w14:paraId="54AA63E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2B3A7FF" w14:textId="77777777" w:rsidTr="00772CB5">
              <w:trPr>
                <w:cantSplit/>
              </w:trPr>
              <w:tc>
                <w:tcPr>
                  <w:tcW w:w="497" w:type="dxa"/>
                  <w:tcBorders>
                    <w:left w:val="single" w:sz="18" w:space="0" w:color="auto"/>
                    <w:right w:val="single" w:sz="18" w:space="0" w:color="auto"/>
                  </w:tcBorders>
                  <w:vAlign w:val="center"/>
                </w:tcPr>
                <w:p w14:paraId="1935AF56" w14:textId="77777777" w:rsidR="00772CB5" w:rsidRPr="004E1A6C" w:rsidRDefault="00772CB5" w:rsidP="00CD3956">
                  <w:pPr>
                    <w:spacing w:after="0" w:line="240" w:lineRule="auto"/>
                    <w:jc w:val="center"/>
                    <w:rPr>
                      <w:rFonts w:ascii="Arial" w:hAnsi="Arial" w:cs="Arial"/>
                      <w:strike/>
                      <w:sz w:val="20"/>
                      <w:szCs w:val="20"/>
                    </w:rPr>
                  </w:pPr>
                  <w:r w:rsidRPr="004E1A6C">
                    <w:rPr>
                      <w:rFonts w:ascii="Arial" w:hAnsi="Arial" w:cs="Arial"/>
                      <w:strike/>
                      <w:sz w:val="20"/>
                      <w:szCs w:val="20"/>
                    </w:rPr>
                    <w:t>4</w:t>
                  </w:r>
                </w:p>
              </w:tc>
              <w:tc>
                <w:tcPr>
                  <w:tcW w:w="2946" w:type="dxa"/>
                  <w:tcBorders>
                    <w:left w:val="single" w:sz="18" w:space="0" w:color="auto"/>
                  </w:tcBorders>
                  <w:vAlign w:val="center"/>
                </w:tcPr>
                <w:p w14:paraId="3B943C60"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Banks in a risk management function.</w:t>
                  </w:r>
                </w:p>
              </w:tc>
              <w:tc>
                <w:tcPr>
                  <w:tcW w:w="472" w:type="dxa"/>
                  <w:tcBorders>
                    <w:right w:val="single" w:sz="18" w:space="0" w:color="auto"/>
                  </w:tcBorders>
                  <w:vAlign w:val="center"/>
                </w:tcPr>
                <w:p w14:paraId="40DD0950" w14:textId="77777777" w:rsidR="00772CB5"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BB251D"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Assignment: Comprehension check of various types of banking risks.</w:t>
                  </w:r>
                </w:p>
                <w:p w14:paraId="788BCEAE"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Practical task</w:t>
                  </w:r>
                  <w:r w:rsidR="0018652B" w:rsidRPr="004E1A6C">
                    <w:rPr>
                      <w:rFonts w:ascii="Arial" w:hAnsi="Arial" w:cs="Arial"/>
                      <w:sz w:val="20"/>
                      <w:szCs w:val="20"/>
                      <w:lang w:val="en-GB"/>
                    </w:rPr>
                    <w:t>s</w:t>
                  </w:r>
                  <w:r w:rsidRPr="004E1A6C">
                    <w:rPr>
                      <w:rFonts w:ascii="Arial" w:hAnsi="Arial" w:cs="Arial"/>
                      <w:sz w:val="20"/>
                      <w:szCs w:val="20"/>
                      <w:lang w:val="en-GB"/>
                    </w:rPr>
                    <w:t>: Calculation</w:t>
                  </w:r>
                  <w:r w:rsidR="0018652B" w:rsidRPr="004E1A6C">
                    <w:rPr>
                      <w:rFonts w:ascii="Arial" w:hAnsi="Arial" w:cs="Arial"/>
                      <w:sz w:val="20"/>
                      <w:szCs w:val="20"/>
                      <w:lang w:val="en-GB"/>
                    </w:rPr>
                    <w:t>s</w:t>
                  </w:r>
                  <w:r w:rsidRPr="004E1A6C">
                    <w:rPr>
                      <w:rFonts w:ascii="Arial" w:hAnsi="Arial" w:cs="Arial"/>
                      <w:sz w:val="20"/>
                      <w:szCs w:val="20"/>
                      <w:lang w:val="en-GB"/>
                    </w:rPr>
                    <w:t xml:space="preserve"> of the bank open position to market risk.</w:t>
                  </w:r>
                </w:p>
              </w:tc>
              <w:tc>
                <w:tcPr>
                  <w:tcW w:w="471" w:type="dxa"/>
                  <w:tcBorders>
                    <w:right w:val="single" w:sz="18" w:space="0" w:color="auto"/>
                  </w:tcBorders>
                  <w:vAlign w:val="center"/>
                </w:tcPr>
                <w:p w14:paraId="2684E0E0" w14:textId="77777777" w:rsidR="00772CB5"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867A1D2" w14:textId="77777777" w:rsidTr="00772CB5">
              <w:trPr>
                <w:cantSplit/>
              </w:trPr>
              <w:tc>
                <w:tcPr>
                  <w:tcW w:w="497" w:type="dxa"/>
                  <w:tcBorders>
                    <w:left w:val="single" w:sz="18" w:space="0" w:color="auto"/>
                    <w:right w:val="single" w:sz="18" w:space="0" w:color="auto"/>
                  </w:tcBorders>
                  <w:vAlign w:val="center"/>
                </w:tcPr>
                <w:p w14:paraId="5140CB6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5</w:t>
                  </w:r>
                </w:p>
              </w:tc>
              <w:tc>
                <w:tcPr>
                  <w:tcW w:w="2946" w:type="dxa"/>
                  <w:tcBorders>
                    <w:left w:val="single" w:sz="18" w:space="0" w:color="auto"/>
                  </w:tcBorders>
                  <w:vAlign w:val="center"/>
                </w:tcPr>
                <w:p w14:paraId="3DC94D72"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Central banks: Position and importance in the banking system – Croatian National Bank in focus.</w:t>
                  </w:r>
                </w:p>
              </w:tc>
              <w:tc>
                <w:tcPr>
                  <w:tcW w:w="472" w:type="dxa"/>
                  <w:tcBorders>
                    <w:right w:val="single" w:sz="18" w:space="0" w:color="auto"/>
                  </w:tcBorders>
                  <w:vAlign w:val="center"/>
                </w:tcPr>
                <w:p w14:paraId="6EACEC5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F4F02B"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Types and ways of money creation.</w:t>
                  </w:r>
                </w:p>
                <w:p w14:paraId="21AEA4F9"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Practical tasks: </w:t>
                  </w:r>
                  <w:proofErr w:type="spellStart"/>
                  <w:r w:rsidRPr="004E1A6C">
                    <w:rPr>
                      <w:rFonts w:ascii="Arial" w:hAnsi="Arial" w:cs="Arial"/>
                      <w:sz w:val="20"/>
                      <w:szCs w:val="20"/>
                      <w:lang w:val="en-GB"/>
                    </w:rPr>
                    <w:t>Macromultiplication</w:t>
                  </w:r>
                  <w:proofErr w:type="spellEnd"/>
                  <w:r w:rsidRPr="004E1A6C">
                    <w:rPr>
                      <w:rFonts w:ascii="Arial" w:hAnsi="Arial" w:cs="Arial"/>
                      <w:sz w:val="20"/>
                      <w:szCs w:val="20"/>
                      <w:lang w:val="en-GB"/>
                    </w:rPr>
                    <w:t xml:space="preserve"> of deposits and loans.</w:t>
                  </w:r>
                </w:p>
              </w:tc>
              <w:tc>
                <w:tcPr>
                  <w:tcW w:w="471" w:type="dxa"/>
                  <w:tcBorders>
                    <w:right w:val="single" w:sz="18" w:space="0" w:color="auto"/>
                  </w:tcBorders>
                  <w:vAlign w:val="center"/>
                </w:tcPr>
                <w:p w14:paraId="43FBA7F8"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0F10F28F" w14:textId="77777777" w:rsidTr="00772CB5">
              <w:trPr>
                <w:cantSplit/>
              </w:trPr>
              <w:tc>
                <w:tcPr>
                  <w:tcW w:w="497" w:type="dxa"/>
                  <w:tcBorders>
                    <w:left w:val="single" w:sz="18" w:space="0" w:color="auto"/>
                    <w:right w:val="single" w:sz="18" w:space="0" w:color="auto"/>
                  </w:tcBorders>
                  <w:vAlign w:val="center"/>
                </w:tcPr>
                <w:p w14:paraId="2AB7CF21"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lastRenderedPageBreak/>
                    <w:t>6</w:t>
                  </w:r>
                </w:p>
              </w:tc>
              <w:tc>
                <w:tcPr>
                  <w:tcW w:w="2946" w:type="dxa"/>
                  <w:tcBorders>
                    <w:left w:val="single" w:sz="18" w:space="0" w:color="auto"/>
                  </w:tcBorders>
                  <w:vAlign w:val="center"/>
                </w:tcPr>
                <w:p w14:paraId="6891F6A8"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 Money creation, foreign currency functions, financial services for the government – Croatian National Bank in focus.</w:t>
                  </w:r>
                </w:p>
              </w:tc>
              <w:tc>
                <w:tcPr>
                  <w:tcW w:w="472" w:type="dxa"/>
                  <w:tcBorders>
                    <w:right w:val="single" w:sz="18" w:space="0" w:color="auto"/>
                  </w:tcBorders>
                  <w:vAlign w:val="center"/>
                </w:tcPr>
                <w:p w14:paraId="42B08AC9"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09C90F40" w14:textId="77777777" w:rsidR="0018652B" w:rsidRPr="004E1A6C" w:rsidRDefault="0018652B" w:rsidP="002D6408">
                  <w:pPr>
                    <w:spacing w:after="0" w:line="240" w:lineRule="auto"/>
                    <w:rPr>
                      <w:rFonts w:ascii="Arial" w:hAnsi="Arial" w:cs="Arial"/>
                      <w:sz w:val="20"/>
                      <w:szCs w:val="20"/>
                      <w:lang w:val="en-GB"/>
                    </w:rPr>
                  </w:pPr>
                  <w:r w:rsidRPr="004E1A6C">
                    <w:rPr>
                      <w:rFonts w:ascii="Arial" w:hAnsi="Arial" w:cs="Arial"/>
                      <w:sz w:val="20"/>
                      <w:szCs w:val="20"/>
                      <w:lang w:val="en-GB"/>
                    </w:rPr>
                    <w:t xml:space="preserve">Selected example of innovative forms of </w:t>
                  </w:r>
                  <w:r w:rsidR="002D6408" w:rsidRPr="004E1A6C">
                    <w:rPr>
                      <w:rFonts w:ascii="Arial" w:hAnsi="Arial" w:cs="Arial"/>
                      <w:sz w:val="20"/>
                      <w:szCs w:val="20"/>
                      <w:lang w:val="en-GB"/>
                    </w:rPr>
                    <w:t>banking financial intermediation.</w:t>
                  </w:r>
                </w:p>
              </w:tc>
              <w:tc>
                <w:tcPr>
                  <w:tcW w:w="471" w:type="dxa"/>
                  <w:tcBorders>
                    <w:right w:val="single" w:sz="18" w:space="0" w:color="auto"/>
                  </w:tcBorders>
                  <w:vAlign w:val="center"/>
                </w:tcPr>
                <w:p w14:paraId="015AAFA5"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1D45E819" w14:textId="77777777" w:rsidTr="00772CB5">
              <w:trPr>
                <w:cantSplit/>
              </w:trPr>
              <w:tc>
                <w:tcPr>
                  <w:tcW w:w="497" w:type="dxa"/>
                  <w:tcBorders>
                    <w:left w:val="single" w:sz="18" w:space="0" w:color="auto"/>
                    <w:right w:val="single" w:sz="18" w:space="0" w:color="auto"/>
                  </w:tcBorders>
                  <w:vAlign w:val="center"/>
                </w:tcPr>
                <w:p w14:paraId="18361279"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7</w:t>
                  </w:r>
                </w:p>
              </w:tc>
              <w:tc>
                <w:tcPr>
                  <w:tcW w:w="2946" w:type="dxa"/>
                  <w:tcBorders>
                    <w:left w:val="single" w:sz="18" w:space="0" w:color="auto"/>
                  </w:tcBorders>
                  <w:vAlign w:val="center"/>
                </w:tcPr>
                <w:p w14:paraId="6D6F659D"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 Bank of the banks – Croatian National Bank in focus.</w:t>
                  </w:r>
                </w:p>
              </w:tc>
              <w:tc>
                <w:tcPr>
                  <w:tcW w:w="472" w:type="dxa"/>
                  <w:tcBorders>
                    <w:right w:val="single" w:sz="18" w:space="0" w:color="auto"/>
                  </w:tcBorders>
                  <w:vAlign w:val="center"/>
                </w:tcPr>
                <w:p w14:paraId="659A1C53"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43D8E1E"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Selected example of the foreign central bank and the monetary sovereignty issue.</w:t>
                  </w:r>
                </w:p>
              </w:tc>
              <w:tc>
                <w:tcPr>
                  <w:tcW w:w="471" w:type="dxa"/>
                  <w:tcBorders>
                    <w:right w:val="single" w:sz="18" w:space="0" w:color="auto"/>
                  </w:tcBorders>
                  <w:vAlign w:val="center"/>
                </w:tcPr>
                <w:p w14:paraId="2881F94E"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40675411" w14:textId="77777777" w:rsidTr="00772CB5">
              <w:trPr>
                <w:cantSplit/>
              </w:trPr>
              <w:tc>
                <w:tcPr>
                  <w:tcW w:w="497" w:type="dxa"/>
                  <w:tcBorders>
                    <w:left w:val="single" w:sz="18" w:space="0" w:color="auto"/>
                    <w:right w:val="single" w:sz="18" w:space="0" w:color="auto"/>
                  </w:tcBorders>
                  <w:vAlign w:val="center"/>
                </w:tcPr>
                <w:p w14:paraId="1DE5DADB"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8</w:t>
                  </w:r>
                </w:p>
              </w:tc>
              <w:tc>
                <w:tcPr>
                  <w:tcW w:w="2946" w:type="dxa"/>
                  <w:tcBorders>
                    <w:left w:val="single" w:sz="18" w:space="0" w:color="auto"/>
                  </w:tcBorders>
                  <w:vAlign w:val="center"/>
                </w:tcPr>
                <w:p w14:paraId="1609B9E2" w14:textId="77777777" w:rsidR="002D6408" w:rsidRPr="004E1A6C" w:rsidRDefault="002D6408" w:rsidP="002D6408">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(III): Banking system oversight – domestic and international practice.</w:t>
                  </w:r>
                </w:p>
              </w:tc>
              <w:tc>
                <w:tcPr>
                  <w:tcW w:w="472" w:type="dxa"/>
                  <w:tcBorders>
                    <w:right w:val="single" w:sz="18" w:space="0" w:color="auto"/>
                  </w:tcBorders>
                  <w:vAlign w:val="center"/>
                </w:tcPr>
                <w:p w14:paraId="0E2CE108"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AC19FC8"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The foundation of the banking sector stability.</w:t>
                  </w:r>
                </w:p>
              </w:tc>
              <w:tc>
                <w:tcPr>
                  <w:tcW w:w="471" w:type="dxa"/>
                  <w:tcBorders>
                    <w:right w:val="single" w:sz="18" w:space="0" w:color="auto"/>
                  </w:tcBorders>
                  <w:vAlign w:val="center"/>
                </w:tcPr>
                <w:p w14:paraId="211BBE7C"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6F2CF4B5" w14:textId="77777777" w:rsidTr="00772CB5">
              <w:trPr>
                <w:cantSplit/>
              </w:trPr>
              <w:tc>
                <w:tcPr>
                  <w:tcW w:w="497" w:type="dxa"/>
                  <w:tcBorders>
                    <w:left w:val="single" w:sz="18" w:space="0" w:color="auto"/>
                    <w:right w:val="single" w:sz="18" w:space="0" w:color="auto"/>
                  </w:tcBorders>
                  <w:vAlign w:val="center"/>
                </w:tcPr>
                <w:p w14:paraId="5710F2C8" w14:textId="77777777" w:rsidR="00D752BB"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9</w:t>
                  </w:r>
                </w:p>
              </w:tc>
              <w:tc>
                <w:tcPr>
                  <w:tcW w:w="2946" w:type="dxa"/>
                  <w:tcBorders>
                    <w:left w:val="single" w:sz="18" w:space="0" w:color="auto"/>
                  </w:tcBorders>
                  <w:vAlign w:val="center"/>
                </w:tcPr>
                <w:p w14:paraId="403EBDFF"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Banking stability: The basic principles of banking business – liquidity and profitability.</w:t>
                  </w:r>
                </w:p>
              </w:tc>
              <w:tc>
                <w:tcPr>
                  <w:tcW w:w="472" w:type="dxa"/>
                  <w:tcBorders>
                    <w:right w:val="single" w:sz="18" w:space="0" w:color="auto"/>
                  </w:tcBorders>
                  <w:vAlign w:val="center"/>
                </w:tcPr>
                <w:p w14:paraId="420BA339"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53819567" w14:textId="77777777" w:rsidR="002D6408" w:rsidRPr="004E1A6C" w:rsidRDefault="002D6408" w:rsidP="007F378B">
                  <w:pPr>
                    <w:spacing w:after="0" w:line="240" w:lineRule="auto"/>
                    <w:rPr>
                      <w:rFonts w:ascii="Arial" w:hAnsi="Arial" w:cs="Arial"/>
                      <w:sz w:val="20"/>
                      <w:szCs w:val="20"/>
                      <w:lang w:val="en-GB"/>
                    </w:rPr>
                  </w:pPr>
                  <w:r w:rsidRPr="004E1A6C">
                    <w:rPr>
                      <w:rFonts w:ascii="Arial" w:hAnsi="Arial" w:cs="Arial"/>
                      <w:sz w:val="20"/>
                      <w:szCs w:val="20"/>
                      <w:lang w:val="en-GB"/>
                    </w:rPr>
                    <w:t xml:space="preserve">Assignment: Comprehension check of </w:t>
                  </w:r>
                  <w:r w:rsidR="007F378B" w:rsidRPr="004E1A6C">
                    <w:rPr>
                      <w:rFonts w:ascii="Arial" w:hAnsi="Arial" w:cs="Arial"/>
                      <w:sz w:val="20"/>
                      <w:szCs w:val="20"/>
                      <w:lang w:val="en-GB"/>
                    </w:rPr>
                    <w:t>banking liquidity and profitability concepts.</w:t>
                  </w:r>
                </w:p>
                <w:p w14:paraId="2D4D6623"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Practical tasks: Evaluation of bank liquidity and profitability.</w:t>
                  </w:r>
                </w:p>
              </w:tc>
              <w:tc>
                <w:tcPr>
                  <w:tcW w:w="471" w:type="dxa"/>
                  <w:tcBorders>
                    <w:right w:val="single" w:sz="18" w:space="0" w:color="auto"/>
                  </w:tcBorders>
                  <w:vAlign w:val="center"/>
                </w:tcPr>
                <w:p w14:paraId="0D541EC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76FFC06B" w14:textId="77777777" w:rsidTr="00772CB5">
              <w:trPr>
                <w:cantSplit/>
              </w:trPr>
              <w:tc>
                <w:tcPr>
                  <w:tcW w:w="497" w:type="dxa"/>
                  <w:tcBorders>
                    <w:left w:val="single" w:sz="18" w:space="0" w:color="auto"/>
                    <w:right w:val="single" w:sz="18" w:space="0" w:color="auto"/>
                  </w:tcBorders>
                  <w:vAlign w:val="center"/>
                </w:tcPr>
                <w:p w14:paraId="2AB4A3BD"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10</w:t>
                  </w:r>
                </w:p>
              </w:tc>
              <w:tc>
                <w:tcPr>
                  <w:tcW w:w="2946" w:type="dxa"/>
                  <w:tcBorders>
                    <w:left w:val="single" w:sz="18" w:space="0" w:color="auto"/>
                  </w:tcBorders>
                  <w:vAlign w:val="center"/>
                </w:tcPr>
                <w:p w14:paraId="6EFA57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Passive banking business – savings mobilization in focus. Types of deposits.</w:t>
                  </w:r>
                </w:p>
              </w:tc>
              <w:tc>
                <w:tcPr>
                  <w:tcW w:w="472" w:type="dxa"/>
                  <w:tcBorders>
                    <w:right w:val="single" w:sz="18" w:space="0" w:color="auto"/>
                  </w:tcBorders>
                  <w:vAlign w:val="center"/>
                </w:tcPr>
                <w:p w14:paraId="14F64C20"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32A16"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Prudent personal finance management and increase of the households saving potential.</w:t>
                  </w:r>
                </w:p>
              </w:tc>
              <w:tc>
                <w:tcPr>
                  <w:tcW w:w="471" w:type="dxa"/>
                  <w:tcBorders>
                    <w:right w:val="single" w:sz="18" w:space="0" w:color="auto"/>
                  </w:tcBorders>
                  <w:vAlign w:val="center"/>
                </w:tcPr>
                <w:p w14:paraId="0B026C41"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1E62958" w14:textId="77777777" w:rsidTr="00772CB5">
              <w:trPr>
                <w:cantSplit/>
              </w:trPr>
              <w:tc>
                <w:tcPr>
                  <w:tcW w:w="497" w:type="dxa"/>
                  <w:tcBorders>
                    <w:left w:val="single" w:sz="18" w:space="0" w:color="auto"/>
                    <w:right w:val="single" w:sz="18" w:space="0" w:color="auto"/>
                  </w:tcBorders>
                  <w:vAlign w:val="center"/>
                </w:tcPr>
                <w:p w14:paraId="4C85BBA9"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11</w:t>
                  </w:r>
                </w:p>
              </w:tc>
              <w:tc>
                <w:tcPr>
                  <w:tcW w:w="2946" w:type="dxa"/>
                  <w:tcBorders>
                    <w:left w:val="single" w:sz="18" w:space="0" w:color="auto"/>
                  </w:tcBorders>
                  <w:vAlign w:val="center"/>
                </w:tcPr>
                <w:p w14:paraId="417D26B9" w14:textId="77777777" w:rsidR="00D752BB" w:rsidRPr="004E1A6C" w:rsidRDefault="00D752BB" w:rsidP="00CD3956">
                  <w:pPr>
                    <w:spacing w:after="0" w:line="240" w:lineRule="auto"/>
                    <w:rPr>
                      <w:rFonts w:ascii="Arial" w:hAnsi="Arial" w:cs="Arial"/>
                      <w:strike/>
                      <w:sz w:val="20"/>
                      <w:szCs w:val="20"/>
                      <w:lang w:val="en-GB"/>
                    </w:rPr>
                  </w:pPr>
                  <w:r w:rsidRPr="004E1A6C">
                    <w:rPr>
                      <w:rFonts w:ascii="Arial" w:hAnsi="Arial" w:cs="Arial"/>
                      <w:strike/>
                      <w:sz w:val="20"/>
                      <w:szCs w:val="20"/>
                      <w:lang w:val="en-GB"/>
                    </w:rPr>
                    <w:t>.</w:t>
                  </w:r>
                </w:p>
                <w:p w14:paraId="794369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Active banking business – financial sources allocation in focus. Types and conditions of loans approval.</w:t>
                  </w:r>
                </w:p>
              </w:tc>
              <w:tc>
                <w:tcPr>
                  <w:tcW w:w="472" w:type="dxa"/>
                  <w:tcBorders>
                    <w:right w:val="single" w:sz="18" w:space="0" w:color="auto"/>
                  </w:tcBorders>
                  <w:vAlign w:val="center"/>
                </w:tcPr>
                <w:p w14:paraId="2A2DECAD"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EDD853C" w14:textId="77777777" w:rsidR="007F378B" w:rsidRPr="004E1A6C" w:rsidRDefault="007F378B" w:rsidP="00D750F9">
                  <w:pPr>
                    <w:spacing w:after="0" w:line="240" w:lineRule="auto"/>
                    <w:rPr>
                      <w:rFonts w:ascii="Arial" w:hAnsi="Arial" w:cs="Arial"/>
                      <w:sz w:val="20"/>
                      <w:szCs w:val="20"/>
                      <w:lang w:val="en-US"/>
                    </w:rPr>
                  </w:pPr>
                  <w:r w:rsidRPr="004E1A6C">
                    <w:rPr>
                      <w:rFonts w:ascii="Arial" w:hAnsi="Arial" w:cs="Arial"/>
                      <w:sz w:val="20"/>
                      <w:szCs w:val="20"/>
                      <w:lang w:val="en-GB"/>
                    </w:rPr>
                    <w:t xml:space="preserve">Financing the </w:t>
                  </w:r>
                  <w:r w:rsidR="00D750F9" w:rsidRPr="004E1A6C">
                    <w:rPr>
                      <w:rFonts w:ascii="Arial" w:hAnsi="Arial" w:cs="Arial"/>
                      <w:sz w:val="20"/>
                      <w:szCs w:val="20"/>
                      <w:lang w:val="en-GB"/>
                    </w:rPr>
                    <w:t>needs of public importance.</w:t>
                  </w:r>
                </w:p>
              </w:tc>
              <w:tc>
                <w:tcPr>
                  <w:tcW w:w="471" w:type="dxa"/>
                  <w:tcBorders>
                    <w:right w:val="single" w:sz="18" w:space="0" w:color="auto"/>
                  </w:tcBorders>
                  <w:vAlign w:val="center"/>
                </w:tcPr>
                <w:p w14:paraId="534D2736"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924FA3D" w14:textId="77777777" w:rsidTr="00772CB5">
              <w:trPr>
                <w:cantSplit/>
              </w:trPr>
              <w:tc>
                <w:tcPr>
                  <w:tcW w:w="497" w:type="dxa"/>
                  <w:tcBorders>
                    <w:left w:val="single" w:sz="18" w:space="0" w:color="auto"/>
                    <w:right w:val="single" w:sz="18" w:space="0" w:color="auto"/>
                  </w:tcBorders>
                  <w:vAlign w:val="center"/>
                </w:tcPr>
                <w:p w14:paraId="05CCEFF0"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12</w:t>
                  </w:r>
                </w:p>
              </w:tc>
              <w:tc>
                <w:tcPr>
                  <w:tcW w:w="2946" w:type="dxa"/>
                  <w:tcBorders>
                    <w:left w:val="single" w:sz="18" w:space="0" w:color="auto"/>
                  </w:tcBorders>
                  <w:vAlign w:val="center"/>
                </w:tcPr>
                <w:p w14:paraId="221D6AE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Off-balance sheet banking business.</w:t>
                  </w:r>
                </w:p>
              </w:tc>
              <w:tc>
                <w:tcPr>
                  <w:tcW w:w="472" w:type="dxa"/>
                  <w:tcBorders>
                    <w:right w:val="single" w:sz="18" w:space="0" w:color="auto"/>
                  </w:tcBorders>
                  <w:vAlign w:val="center"/>
                </w:tcPr>
                <w:p w14:paraId="5D9C14C2"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550A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Guest lecture by the expert from the practice: Credit services to enterprises. </w:t>
                  </w:r>
                </w:p>
              </w:tc>
              <w:tc>
                <w:tcPr>
                  <w:tcW w:w="471" w:type="dxa"/>
                  <w:tcBorders>
                    <w:right w:val="single" w:sz="18" w:space="0" w:color="auto"/>
                  </w:tcBorders>
                  <w:vAlign w:val="center"/>
                </w:tcPr>
                <w:p w14:paraId="5D852D3A"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71BAF3C" w14:textId="77777777" w:rsidTr="00772CB5">
              <w:trPr>
                <w:cantSplit/>
              </w:trPr>
              <w:tc>
                <w:tcPr>
                  <w:tcW w:w="497" w:type="dxa"/>
                  <w:tcBorders>
                    <w:left w:val="single" w:sz="18" w:space="0" w:color="auto"/>
                    <w:right w:val="single" w:sz="18" w:space="0" w:color="auto"/>
                  </w:tcBorders>
                  <w:vAlign w:val="center"/>
                </w:tcPr>
                <w:p w14:paraId="7AA0CCC6"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13</w:t>
                  </w:r>
                </w:p>
              </w:tc>
              <w:tc>
                <w:tcPr>
                  <w:tcW w:w="2946" w:type="dxa"/>
                  <w:tcBorders>
                    <w:left w:val="single" w:sz="18" w:space="0" w:color="auto"/>
                  </w:tcBorders>
                  <w:vAlign w:val="center"/>
                </w:tcPr>
                <w:p w14:paraId="05DCC73D"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Financial innovations. Selected investment banking activities.</w:t>
                  </w:r>
                </w:p>
              </w:tc>
              <w:tc>
                <w:tcPr>
                  <w:tcW w:w="472" w:type="dxa"/>
                  <w:tcBorders>
                    <w:right w:val="single" w:sz="18" w:space="0" w:color="auto"/>
                  </w:tcBorders>
                  <w:vAlign w:val="center"/>
                </w:tcPr>
                <w:p w14:paraId="01D413A8"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002B2C1"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Selected financial innovation or business in the area of investment banking.</w:t>
                  </w:r>
                </w:p>
              </w:tc>
              <w:tc>
                <w:tcPr>
                  <w:tcW w:w="471" w:type="dxa"/>
                  <w:tcBorders>
                    <w:right w:val="single" w:sz="18" w:space="0" w:color="auto"/>
                  </w:tcBorders>
                  <w:vAlign w:val="center"/>
                </w:tcPr>
                <w:p w14:paraId="42905BB9"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bl>
          <w:p w14:paraId="3C1E6145" w14:textId="77777777" w:rsidR="007868FB" w:rsidRPr="004E1A6C" w:rsidRDefault="007868FB" w:rsidP="00CD3956">
            <w:pPr>
              <w:tabs>
                <w:tab w:val="left" w:pos="2820"/>
              </w:tabs>
              <w:spacing w:after="0" w:line="240" w:lineRule="auto"/>
              <w:rPr>
                <w:rFonts w:ascii="Arial" w:hAnsi="Arial" w:cs="Arial"/>
                <w:sz w:val="20"/>
                <w:szCs w:val="20"/>
                <w:lang w:val="en-GB"/>
              </w:rPr>
            </w:pPr>
          </w:p>
        </w:tc>
      </w:tr>
      <w:tr w:rsidR="004E1A6C" w:rsidRPr="004E1A6C" w14:paraId="61F63703" w14:textId="77777777" w:rsidTr="7D28183D">
        <w:trPr>
          <w:trHeight w:val="349"/>
        </w:trPr>
        <w:tc>
          <w:tcPr>
            <w:tcW w:w="1912" w:type="dxa"/>
            <w:vMerge w:val="restart"/>
            <w:tcBorders>
              <w:left w:val="single" w:sz="12" w:space="0" w:color="auto"/>
            </w:tcBorders>
            <w:shd w:val="clear" w:color="auto" w:fill="CCFFFF"/>
            <w:tcMar>
              <w:left w:w="57" w:type="dxa"/>
              <w:right w:w="57" w:type="dxa"/>
            </w:tcMar>
            <w:vAlign w:val="center"/>
          </w:tcPr>
          <w:p w14:paraId="64ABE985"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22A7F70"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lectures</w:t>
            </w:r>
          </w:p>
          <w:p w14:paraId="2367C9A6"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seminars and workshops</w:t>
            </w:r>
          </w:p>
          <w:p w14:paraId="5FAFB69A"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exercises</w:t>
            </w:r>
            <w:r w:rsidR="007868FB" w:rsidRPr="004E1A6C">
              <w:rPr>
                <w:rFonts w:ascii="Arial" w:hAnsi="Arial" w:cs="Arial"/>
                <w:b w:val="0"/>
                <w:sz w:val="20"/>
                <w:szCs w:val="20"/>
                <w:lang w:val="en-GB"/>
              </w:rPr>
              <w:t xml:space="preserve">  </w:t>
            </w:r>
          </w:p>
          <w:p w14:paraId="72FD0EDB"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b w:val="0"/>
                <w:i/>
                <w:sz w:val="20"/>
                <w:szCs w:val="20"/>
                <w:lang w:val="en-GB"/>
              </w:rPr>
              <w:t>on line</w:t>
            </w:r>
            <w:r w:rsidRPr="004E1A6C">
              <w:rPr>
                <w:rFonts w:ascii="Arial" w:hAnsi="Arial" w:cs="Arial"/>
                <w:b w:val="0"/>
                <w:sz w:val="20"/>
                <w:szCs w:val="20"/>
                <w:lang w:val="en-GB"/>
              </w:rPr>
              <w:t xml:space="preserve"> in entirety</w:t>
            </w:r>
          </w:p>
          <w:p w14:paraId="712FCA63"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partial e-learning</w:t>
            </w:r>
          </w:p>
          <w:p w14:paraId="5174284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703A36C8"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007868FB" w:rsidRPr="004E1A6C">
              <w:rPr>
                <w:rFonts w:ascii="Arial" w:hAnsi="Arial" w:cs="Arial"/>
                <w:b w:val="0"/>
                <w:sz w:val="20"/>
                <w:szCs w:val="20"/>
                <w:lang w:val="en-GB"/>
              </w:rPr>
              <w:t xml:space="preserve"> </w:t>
            </w:r>
            <w:r w:rsidR="007868FB" w:rsidRPr="004E1A6C">
              <w:rPr>
                <w:rFonts w:ascii="Arial" w:hAnsi="Arial" w:cs="Arial"/>
                <w:sz w:val="20"/>
                <w:szCs w:val="20"/>
                <w:lang w:val="en-GB"/>
              </w:rPr>
              <w:t>independent assignments</w:t>
            </w:r>
          </w:p>
          <w:p w14:paraId="045494B1"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 xml:space="preserve">multimedia </w:t>
            </w:r>
          </w:p>
          <w:p w14:paraId="3BD8EB7F"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laboratory</w:t>
            </w:r>
          </w:p>
          <w:p w14:paraId="0BCF2C86"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work with mentor</w:t>
            </w:r>
          </w:p>
          <w:p w14:paraId="25EBCBCD" w14:textId="77777777" w:rsidR="007868FB" w:rsidRPr="004E1A6C" w:rsidRDefault="007868FB" w:rsidP="00D84950">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w:t>
            </w:r>
            <w:r w:rsidR="00D84950" w:rsidRPr="004E1A6C">
              <w:rPr>
                <w:rFonts w:ascii="Arial" w:hAnsi="Arial" w:cs="Arial"/>
                <w:b/>
                <w:sz w:val="20"/>
                <w:szCs w:val="20"/>
                <w:lang w:val="en-GB"/>
              </w:rPr>
              <w:t>guest lecture</w:t>
            </w:r>
            <w:r w:rsidRPr="004E1A6C">
              <w:rPr>
                <w:rFonts w:ascii="Arial" w:hAnsi="Arial" w:cs="Arial"/>
                <w:b/>
                <w:sz w:val="20"/>
                <w:szCs w:val="20"/>
                <w:lang w:val="en-GB"/>
              </w:rPr>
              <w:t xml:space="preserve"> </w:t>
            </w:r>
            <w:r w:rsidR="00D84950" w:rsidRPr="004E1A6C">
              <w:rPr>
                <w:rFonts w:ascii="Arial" w:hAnsi="Arial" w:cs="Arial"/>
                <w:b/>
                <w:sz w:val="20"/>
                <w:szCs w:val="20"/>
                <w:lang w:val="en-GB"/>
              </w:rPr>
              <w:t>by the expert from the practice</w:t>
            </w:r>
          </w:p>
        </w:tc>
      </w:tr>
      <w:tr w:rsidR="004E1A6C" w:rsidRPr="004E1A6C" w14:paraId="709C967D" w14:textId="77777777" w:rsidTr="7D28183D">
        <w:trPr>
          <w:trHeight w:val="577"/>
        </w:trPr>
        <w:tc>
          <w:tcPr>
            <w:tcW w:w="1912" w:type="dxa"/>
            <w:vMerge/>
            <w:tcMar>
              <w:left w:w="57" w:type="dxa"/>
              <w:right w:w="57" w:type="dxa"/>
            </w:tcMar>
            <w:vAlign w:val="center"/>
          </w:tcPr>
          <w:p w14:paraId="3DA94921" w14:textId="77777777" w:rsidR="007868FB" w:rsidRPr="004E1A6C" w:rsidRDefault="007868FB" w:rsidP="00CD3956">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22674511" w14:textId="77777777" w:rsidR="007868FB" w:rsidRPr="004E1A6C" w:rsidRDefault="007868FB" w:rsidP="00CD3956">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D15AFD" w14:textId="77777777" w:rsidR="007868FB" w:rsidRPr="004E1A6C" w:rsidRDefault="007868FB" w:rsidP="00CD3956">
            <w:pPr>
              <w:pStyle w:val="FieldText"/>
              <w:rPr>
                <w:rFonts w:ascii="Arial" w:hAnsi="Arial" w:cs="Arial"/>
                <w:b w:val="0"/>
                <w:sz w:val="20"/>
                <w:szCs w:val="20"/>
                <w:lang w:val="en-GB"/>
              </w:rPr>
            </w:pPr>
          </w:p>
        </w:tc>
      </w:tr>
      <w:tr w:rsidR="004E1A6C" w:rsidRPr="004E1A6C" w14:paraId="73C150D4"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42463FE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Student</w:t>
            </w:r>
            <w:r w:rsidRPr="004E1A6C">
              <w:rPr>
                <w:rStyle w:val="CommentReference"/>
                <w:lang w:val="en-GB"/>
              </w:rPr>
              <w:t xml:space="preserve"> </w:t>
            </w:r>
            <w:r w:rsidRPr="004E1A6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C0E82EC" w14:textId="77777777" w:rsidR="008E34CE" w:rsidRPr="004E1A6C" w:rsidRDefault="00F517F0" w:rsidP="000D4994">
            <w:pPr>
              <w:tabs>
                <w:tab w:val="left" w:pos="2820"/>
              </w:tabs>
              <w:spacing w:after="0" w:line="240" w:lineRule="auto"/>
              <w:jc w:val="both"/>
              <w:rPr>
                <w:rFonts w:ascii="Arial" w:hAnsi="Arial" w:cs="Arial"/>
                <w:strike/>
                <w:sz w:val="20"/>
                <w:szCs w:val="20"/>
                <w:lang w:val="en-GB"/>
              </w:rPr>
            </w:pPr>
            <w:r w:rsidRPr="004E1A6C">
              <w:rPr>
                <w:rFonts w:ascii="Arial" w:hAnsi="Arial" w:cs="Arial"/>
                <w:sz w:val="20"/>
                <w:szCs w:val="20"/>
                <w:lang w:val="en-GB"/>
              </w:rPr>
              <w:t xml:space="preserve">To attain a signature, student has to regularly attend course – for the full-time student, minimum is 50% of lectures and exercises, and for the part-time student, minimum is 25% of lectures and exercises. </w:t>
            </w:r>
            <w:r w:rsidRPr="000D4994">
              <w:rPr>
                <w:rFonts w:ascii="Arial" w:hAnsi="Arial" w:cs="Arial"/>
                <w:strike/>
                <w:color w:val="FF0000"/>
                <w:sz w:val="20"/>
                <w:szCs w:val="20"/>
                <w:lang w:val="en-GB"/>
              </w:rPr>
              <w:t xml:space="preserve">To attain a signature, student is also required to actively participate in lectures and exercises. </w:t>
            </w:r>
            <w:r w:rsidR="00954F64" w:rsidRPr="000D4994">
              <w:rPr>
                <w:rFonts w:ascii="Arial" w:hAnsi="Arial" w:cs="Arial"/>
                <w:strike/>
                <w:color w:val="FF0000"/>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and/or quiz questions.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E1A6C" w:rsidRPr="004E1A6C" w14:paraId="2022B461" w14:textId="77777777" w:rsidTr="7D28183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46BE97"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Screening student work </w:t>
            </w:r>
            <w:r w:rsidRPr="004E1A6C">
              <w:rPr>
                <w:rFonts w:ascii="Arial" w:hAnsi="Arial" w:cs="Arial"/>
                <w:i/>
                <w:sz w:val="20"/>
                <w:szCs w:val="20"/>
                <w:lang w:val="en-GB"/>
              </w:rPr>
              <w:t>(name the proportion of ECTS credits for each</w:t>
            </w:r>
            <w:r w:rsidRPr="004E1A6C">
              <w:rPr>
                <w:rStyle w:val="CommentReference"/>
                <w:lang w:val="en-GB"/>
              </w:rPr>
              <w:t xml:space="preserve"> </w:t>
            </w:r>
            <w:r w:rsidRPr="004E1A6C">
              <w:rPr>
                <w:rFonts w:ascii="Arial" w:hAnsi="Arial" w:cs="Arial"/>
                <w:i/>
                <w:sz w:val="20"/>
                <w:szCs w:val="20"/>
                <w:lang w:val="en-GB"/>
              </w:rPr>
              <w:t xml:space="preserve">activity so that the total number of ECTS credits is </w:t>
            </w:r>
            <w:r w:rsidRPr="004E1A6C">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670A7E25"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89642BC" w14:textId="62E769AC" w:rsidR="007868FB" w:rsidRPr="004E1A6C" w:rsidRDefault="000D4994" w:rsidP="000A51BB">
            <w:pPr>
              <w:pStyle w:val="FieldText"/>
              <w:rPr>
                <w:rFonts w:ascii="Arial" w:hAnsi="Arial" w:cs="Arial"/>
                <w:b w:val="0"/>
                <w:sz w:val="20"/>
                <w:szCs w:val="20"/>
                <w:lang w:val="en-GB"/>
              </w:rPr>
            </w:pPr>
            <w:r w:rsidRPr="000D4994">
              <w:rPr>
                <w:rFonts w:ascii="Arial" w:hAnsi="Arial" w:cs="Arial"/>
                <w:b w:val="0"/>
                <w:color w:val="92D050"/>
                <w:sz w:val="20"/>
                <w:szCs w:val="20"/>
                <w:lang w:val="en-GB"/>
              </w:rPr>
              <w:t>1</w:t>
            </w:r>
            <w:r>
              <w:rPr>
                <w:rFonts w:ascii="Arial" w:hAnsi="Arial" w:cs="Arial"/>
                <w:b w:val="0"/>
                <w:sz w:val="20"/>
                <w:szCs w:val="20"/>
                <w:lang w:val="en-GB"/>
              </w:rPr>
              <w:t xml:space="preserve"> </w:t>
            </w:r>
            <w:r w:rsidR="00F517F0" w:rsidRPr="000D4994">
              <w:rPr>
                <w:rFonts w:ascii="Arial" w:hAnsi="Arial" w:cs="Arial"/>
                <w:b w:val="0"/>
                <w:strike/>
                <w:color w:val="FF0000"/>
                <w:sz w:val="20"/>
                <w:szCs w:val="20"/>
                <w:lang w:val="en-GB"/>
              </w:rPr>
              <w:t>0,</w:t>
            </w:r>
            <w:r w:rsidR="000A51BB" w:rsidRPr="000D4994">
              <w:rPr>
                <w:rFonts w:ascii="Arial" w:hAnsi="Arial" w:cs="Arial"/>
                <w:b w:val="0"/>
                <w:strike/>
                <w:color w:val="FF0000"/>
                <w:sz w:val="20"/>
                <w:szCs w:val="20"/>
                <w:lang w:val="en-GB"/>
              </w:rPr>
              <w:t>7</w:t>
            </w:r>
          </w:p>
        </w:tc>
        <w:tc>
          <w:tcPr>
            <w:tcW w:w="1276" w:type="dxa"/>
            <w:gridSpan w:val="3"/>
            <w:tcBorders>
              <w:top w:val="single" w:sz="12" w:space="0" w:color="auto"/>
            </w:tcBorders>
            <w:tcMar>
              <w:left w:w="57" w:type="dxa"/>
              <w:right w:w="57" w:type="dxa"/>
            </w:tcMar>
            <w:vAlign w:val="center"/>
          </w:tcPr>
          <w:p w14:paraId="578AF25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8802830"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792637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FEEEFB"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132488F3" w14:textId="77777777" w:rsidTr="7D28183D">
        <w:trPr>
          <w:trHeight w:val="397"/>
        </w:trPr>
        <w:tc>
          <w:tcPr>
            <w:tcW w:w="1912" w:type="dxa"/>
            <w:vMerge/>
            <w:tcMar>
              <w:left w:w="57" w:type="dxa"/>
              <w:right w:w="57" w:type="dxa"/>
            </w:tcMar>
            <w:vAlign w:val="center"/>
          </w:tcPr>
          <w:p w14:paraId="6E6EB29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C75F3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Experimental work</w:t>
            </w:r>
          </w:p>
        </w:tc>
        <w:tc>
          <w:tcPr>
            <w:tcW w:w="850" w:type="dxa"/>
            <w:tcMar>
              <w:left w:w="57" w:type="dxa"/>
              <w:right w:w="57" w:type="dxa"/>
            </w:tcMar>
            <w:vAlign w:val="center"/>
          </w:tcPr>
          <w:p w14:paraId="269DB381"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0AFC1783"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Report</w:t>
            </w:r>
          </w:p>
        </w:tc>
        <w:tc>
          <w:tcPr>
            <w:tcW w:w="1170" w:type="dxa"/>
            <w:tcMar>
              <w:left w:w="57" w:type="dxa"/>
              <w:right w:w="57" w:type="dxa"/>
            </w:tcMar>
            <w:vAlign w:val="center"/>
          </w:tcPr>
          <w:p w14:paraId="041EA02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Mar>
              <w:left w:w="57" w:type="dxa"/>
              <w:right w:w="57" w:type="dxa"/>
            </w:tcMar>
            <w:vAlign w:val="center"/>
          </w:tcPr>
          <w:p w14:paraId="25F3E944" w14:textId="77777777" w:rsidR="00D02F44" w:rsidRPr="004E1A6C" w:rsidRDefault="00F517F0" w:rsidP="00D02F44">
            <w:pPr>
              <w:pStyle w:val="FieldText"/>
              <w:rPr>
                <w:rFonts w:ascii="Arial" w:hAnsi="Arial" w:cs="Arial"/>
                <w:b w:val="0"/>
                <w:sz w:val="20"/>
                <w:szCs w:val="20"/>
                <w:lang w:val="en-GB"/>
              </w:rPr>
            </w:pPr>
            <w:r w:rsidRPr="004E1A6C">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948A667" w14:textId="77777777" w:rsidR="00D02F44" w:rsidRPr="000D4994" w:rsidRDefault="00F517F0" w:rsidP="000A51BB">
            <w:pPr>
              <w:pStyle w:val="FieldText"/>
              <w:rPr>
                <w:rFonts w:ascii="Arial" w:hAnsi="Arial" w:cs="Arial"/>
                <w:b w:val="0"/>
                <w:strike/>
                <w:sz w:val="20"/>
                <w:szCs w:val="20"/>
                <w:lang w:val="en-GB"/>
              </w:rPr>
            </w:pPr>
            <w:bookmarkStart w:id="0" w:name="_GoBack"/>
            <w:r w:rsidRPr="000D4994">
              <w:rPr>
                <w:rFonts w:ascii="Arial" w:hAnsi="Arial" w:cs="Arial"/>
                <w:b w:val="0"/>
                <w:strike/>
                <w:color w:val="FF0000"/>
                <w:sz w:val="20"/>
                <w:szCs w:val="20"/>
                <w:lang w:val="en-GB"/>
              </w:rPr>
              <w:t>0,</w:t>
            </w:r>
            <w:r w:rsidR="000A51BB" w:rsidRPr="000D4994">
              <w:rPr>
                <w:rFonts w:ascii="Arial" w:hAnsi="Arial" w:cs="Arial"/>
                <w:b w:val="0"/>
                <w:strike/>
                <w:color w:val="FF0000"/>
                <w:sz w:val="20"/>
                <w:szCs w:val="20"/>
                <w:lang w:val="en-GB"/>
              </w:rPr>
              <w:t>3</w:t>
            </w:r>
            <w:bookmarkEnd w:id="0"/>
          </w:p>
        </w:tc>
      </w:tr>
      <w:tr w:rsidR="004E1A6C" w:rsidRPr="004E1A6C" w14:paraId="4F1CA75C" w14:textId="77777777" w:rsidTr="7D28183D">
        <w:trPr>
          <w:trHeight w:val="397"/>
        </w:trPr>
        <w:tc>
          <w:tcPr>
            <w:tcW w:w="1912" w:type="dxa"/>
            <w:vMerge/>
            <w:tcMar>
              <w:left w:w="57" w:type="dxa"/>
              <w:right w:w="57" w:type="dxa"/>
            </w:tcMar>
            <w:vAlign w:val="center"/>
          </w:tcPr>
          <w:p w14:paraId="7BA68959"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F0089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Essay</w:t>
            </w:r>
          </w:p>
        </w:tc>
        <w:tc>
          <w:tcPr>
            <w:tcW w:w="850" w:type="dxa"/>
            <w:tcMar>
              <w:left w:w="57" w:type="dxa"/>
              <w:right w:w="57" w:type="dxa"/>
            </w:tcMar>
            <w:vAlign w:val="center"/>
          </w:tcPr>
          <w:p w14:paraId="1985E950"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415469D8"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Seminar essay</w:t>
            </w:r>
          </w:p>
        </w:tc>
        <w:tc>
          <w:tcPr>
            <w:tcW w:w="1170" w:type="dxa"/>
            <w:tcMar>
              <w:left w:w="57" w:type="dxa"/>
              <w:right w:w="57" w:type="dxa"/>
            </w:tcMar>
            <w:vAlign w:val="center"/>
          </w:tcPr>
          <w:p w14:paraId="5E6D5DC1" w14:textId="77777777" w:rsidR="00D02F44" w:rsidRPr="004E1A6C" w:rsidRDefault="00D02F44" w:rsidP="00D02F44">
            <w:pPr>
              <w:pStyle w:val="FieldText"/>
              <w:rPr>
                <w:rFonts w:ascii="Arial" w:hAnsi="Arial" w:cs="Arial"/>
                <w:b w:val="0"/>
                <w:sz w:val="20"/>
                <w:szCs w:val="20"/>
                <w:lang w:val="en-GB"/>
              </w:rPr>
            </w:pPr>
          </w:p>
        </w:tc>
        <w:tc>
          <w:tcPr>
            <w:tcW w:w="1665" w:type="dxa"/>
            <w:gridSpan w:val="5"/>
            <w:tcMar>
              <w:left w:w="57" w:type="dxa"/>
              <w:right w:w="57" w:type="dxa"/>
            </w:tcMar>
            <w:vAlign w:val="center"/>
          </w:tcPr>
          <w:p w14:paraId="24B2B099"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r w:rsidRPr="004E1A6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62D9E3E"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79E66868" w14:textId="77777777" w:rsidTr="7D28183D">
        <w:trPr>
          <w:trHeight w:val="397"/>
        </w:trPr>
        <w:tc>
          <w:tcPr>
            <w:tcW w:w="1912" w:type="dxa"/>
            <w:vMerge/>
            <w:tcMar>
              <w:left w:w="57" w:type="dxa"/>
              <w:right w:w="57" w:type="dxa"/>
            </w:tcMar>
            <w:vAlign w:val="center"/>
          </w:tcPr>
          <w:p w14:paraId="194D518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63EAC52"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Tests</w:t>
            </w:r>
          </w:p>
        </w:tc>
        <w:tc>
          <w:tcPr>
            <w:tcW w:w="850" w:type="dxa"/>
            <w:tcMar>
              <w:left w:w="57" w:type="dxa"/>
              <w:right w:w="57" w:type="dxa"/>
            </w:tcMar>
            <w:vAlign w:val="center"/>
          </w:tcPr>
          <w:p w14:paraId="6D65A9AB"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3*</w:t>
            </w:r>
          </w:p>
        </w:tc>
        <w:tc>
          <w:tcPr>
            <w:tcW w:w="1276" w:type="dxa"/>
            <w:gridSpan w:val="3"/>
            <w:tcMar>
              <w:left w:w="57" w:type="dxa"/>
              <w:right w:w="57" w:type="dxa"/>
            </w:tcMar>
            <w:vAlign w:val="center"/>
          </w:tcPr>
          <w:p w14:paraId="702AE3D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Oral exam</w:t>
            </w:r>
          </w:p>
        </w:tc>
        <w:tc>
          <w:tcPr>
            <w:tcW w:w="1170" w:type="dxa"/>
            <w:tcMar>
              <w:left w:w="57" w:type="dxa"/>
              <w:right w:w="57" w:type="dxa"/>
            </w:tcMar>
            <w:vAlign w:val="center"/>
          </w:tcPr>
          <w:p w14:paraId="38732CA2"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Mar>
              <w:left w:w="57" w:type="dxa"/>
              <w:right w:w="57" w:type="dxa"/>
            </w:tcMar>
            <w:vAlign w:val="center"/>
          </w:tcPr>
          <w:p w14:paraId="35841CF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8590375"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032E649D" w14:textId="77777777" w:rsidTr="7D28183D">
        <w:trPr>
          <w:trHeight w:val="397"/>
        </w:trPr>
        <w:tc>
          <w:tcPr>
            <w:tcW w:w="1912" w:type="dxa"/>
            <w:vMerge/>
            <w:tcMar>
              <w:left w:w="57" w:type="dxa"/>
              <w:right w:w="57" w:type="dxa"/>
            </w:tcMar>
            <w:vAlign w:val="center"/>
          </w:tcPr>
          <w:p w14:paraId="174053D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9DE4FA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A38C7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D51A627"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5FDA9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852CA6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B2CDD30"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448F47E7" w14:textId="77777777" w:rsidTr="7D28183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D69D59" w14:textId="77777777" w:rsidR="00D02F44" w:rsidRPr="004E1A6C" w:rsidRDefault="00D02F44" w:rsidP="00D02F44">
            <w:pPr>
              <w:tabs>
                <w:tab w:val="left" w:pos="360"/>
                <w:tab w:val="left" w:pos="540"/>
              </w:tabs>
              <w:spacing w:after="0" w:line="240" w:lineRule="auto"/>
              <w:rPr>
                <w:rFonts w:ascii="Arial" w:hAnsi="Arial" w:cs="Arial"/>
                <w:sz w:val="20"/>
                <w:szCs w:val="20"/>
                <w:lang w:val="en-GB"/>
              </w:rPr>
            </w:pPr>
            <w:r w:rsidRPr="004E1A6C">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55F2FA9"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xml:space="preserve">Two written tests, written exam. The exam is conducted by the course teacher. </w:t>
            </w:r>
          </w:p>
          <w:p w14:paraId="1FB42616"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D25DC9A"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Positive assessment of both tests replaces the final written exam.</w:t>
            </w:r>
          </w:p>
          <w:p w14:paraId="108CEC25"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scores and can be increased in case of special student’s engagement in the exercises.</w:t>
            </w:r>
          </w:p>
          <w:p w14:paraId="094C0603"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4E1A6C" w:rsidRPr="004E1A6C" w14:paraId="18339035" w14:textId="77777777" w:rsidTr="7D28183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C64634" w14:textId="77777777" w:rsidR="00D02F44" w:rsidRPr="004E1A6C" w:rsidRDefault="00D02F44" w:rsidP="00D02F44">
            <w:pPr>
              <w:tabs>
                <w:tab w:val="left" w:pos="540"/>
              </w:tabs>
              <w:spacing w:after="0" w:line="240" w:lineRule="auto"/>
              <w:rPr>
                <w:rFonts w:ascii="Arial" w:hAnsi="Arial" w:cs="Arial"/>
                <w:sz w:val="20"/>
                <w:szCs w:val="20"/>
                <w:lang w:val="en-GB"/>
              </w:rPr>
            </w:pPr>
            <w:r w:rsidRPr="004E1A6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C801834"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2D3829"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D082B7"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Availability via other media</w:t>
            </w:r>
          </w:p>
        </w:tc>
      </w:tr>
      <w:tr w:rsidR="004E1A6C" w:rsidRPr="004E1A6C" w14:paraId="15B16116" w14:textId="77777777" w:rsidTr="7D28183D">
        <w:trPr>
          <w:trHeight w:val="75"/>
        </w:trPr>
        <w:tc>
          <w:tcPr>
            <w:tcW w:w="1912" w:type="dxa"/>
            <w:vMerge/>
            <w:tcMar>
              <w:left w:w="57" w:type="dxa"/>
              <w:right w:w="57" w:type="dxa"/>
            </w:tcMar>
            <w:vAlign w:val="center"/>
          </w:tcPr>
          <w:p w14:paraId="0D30000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7E8815"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Kundid Novokmet, A. </w:t>
            </w:r>
            <w:proofErr w:type="spellStart"/>
            <w:r w:rsidRPr="7D28183D">
              <w:rPr>
                <w:rFonts w:ascii="Arial" w:eastAsia="Arial" w:hAnsi="Arial" w:cs="Arial"/>
                <w:sz w:val="20"/>
                <w:szCs w:val="20"/>
              </w:rPr>
              <w:t>Course</w:t>
            </w:r>
            <w:proofErr w:type="spellEnd"/>
            <w:r w:rsidRPr="7D28183D">
              <w:rPr>
                <w:rFonts w:ascii="Arial" w:eastAsia="Arial" w:hAnsi="Arial" w:cs="Arial"/>
                <w:sz w:val="20"/>
                <w:szCs w:val="20"/>
              </w:rPr>
              <w:t xml:space="preserve"> </w:t>
            </w:r>
            <w:proofErr w:type="spellStart"/>
            <w:r w:rsidRPr="7D28183D">
              <w:rPr>
                <w:rFonts w:ascii="Arial" w:eastAsia="Arial" w:hAnsi="Arial" w:cs="Arial"/>
                <w:sz w:val="20"/>
                <w:szCs w:val="20"/>
              </w:rPr>
              <w:t>materials</w:t>
            </w:r>
            <w:proofErr w:type="spellEnd"/>
            <w:r w:rsidRPr="7D28183D">
              <w:rPr>
                <w:rFonts w:ascii="Arial" w:eastAsia="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373830"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B7369DE"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7F082681" w14:textId="77777777" w:rsidTr="7D28183D">
        <w:trPr>
          <w:trHeight w:val="75"/>
        </w:trPr>
        <w:tc>
          <w:tcPr>
            <w:tcW w:w="1912" w:type="dxa"/>
            <w:vMerge/>
            <w:tcMar>
              <w:left w:w="57" w:type="dxa"/>
              <w:right w:w="57" w:type="dxa"/>
            </w:tcMar>
            <w:vAlign w:val="center"/>
          </w:tcPr>
          <w:p w14:paraId="50E6512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C3F593" w14:textId="7050FA31" w:rsidR="00D02F44" w:rsidRPr="004E1A6C" w:rsidRDefault="7D28183D" w:rsidP="7D28183D">
            <w:pPr>
              <w:tabs>
                <w:tab w:val="left" w:pos="2820"/>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Pojatina</w:t>
            </w:r>
            <w:proofErr w:type="spellEnd"/>
            <w:r w:rsidRPr="7D28183D">
              <w:rPr>
                <w:rFonts w:ascii="Arial" w:eastAsia="Arial" w:hAnsi="Arial" w:cs="Arial"/>
                <w:sz w:val="20"/>
                <w:szCs w:val="20"/>
              </w:rPr>
              <w:t xml:space="preserve">, D. (2004) </w:t>
            </w:r>
            <w:r w:rsidRPr="7D28183D">
              <w:rPr>
                <w:rFonts w:ascii="Arial" w:eastAsia="Arial" w:hAnsi="Arial" w:cs="Arial"/>
                <w:i/>
                <w:iCs/>
                <w:sz w:val="20"/>
                <w:szCs w:val="20"/>
              </w:rPr>
              <w:t>Dometi bankovnog posredništva</w:t>
            </w:r>
            <w:r w:rsidRPr="7D28183D">
              <w:rPr>
                <w:rFonts w:ascii="Arial" w:eastAsia="Arial" w:hAnsi="Arial" w:cs="Arial"/>
                <w:sz w:val="20"/>
                <w:szCs w:val="20"/>
              </w:rPr>
              <w:t xml:space="preserve">, Ekonomska misao i praksa, Vol. 13, No. 1, </w:t>
            </w:r>
            <w:proofErr w:type="spellStart"/>
            <w:r w:rsidRPr="7D28183D">
              <w:rPr>
                <w:rFonts w:ascii="Arial" w:eastAsia="Arial" w:hAnsi="Arial" w:cs="Arial"/>
                <w:sz w:val="20"/>
                <w:szCs w:val="20"/>
              </w:rPr>
              <w:t>pp</w:t>
            </w:r>
            <w:proofErr w:type="spellEnd"/>
            <w:r w:rsidRPr="7D28183D">
              <w:rPr>
                <w:rFonts w:ascii="Arial" w:eastAsia="Arial" w:hAnsi="Arial" w:cs="Arial"/>
                <w:sz w:val="20"/>
                <w:szCs w:val="20"/>
              </w:rPr>
              <w:t>. 75-94.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B0C8EB"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F18A1E8"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2B7098C8" w14:textId="77777777" w:rsidTr="7D28183D">
        <w:trPr>
          <w:trHeight w:val="75"/>
        </w:trPr>
        <w:tc>
          <w:tcPr>
            <w:tcW w:w="1912" w:type="dxa"/>
            <w:vMerge/>
            <w:tcMar>
              <w:left w:w="57" w:type="dxa"/>
              <w:right w:w="57" w:type="dxa"/>
            </w:tcMar>
            <w:vAlign w:val="center"/>
          </w:tcPr>
          <w:p w14:paraId="76BA324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82ED051" w14:textId="143E24DE" w:rsidR="00D02F44" w:rsidRPr="004E1A6C" w:rsidRDefault="7D28183D" w:rsidP="7D28183D">
            <w:pPr>
              <w:tabs>
                <w:tab w:val="left" w:pos="2820"/>
              </w:tabs>
              <w:spacing w:after="0" w:line="240" w:lineRule="auto"/>
              <w:jc w:val="both"/>
              <w:rPr>
                <w:rFonts w:ascii="Arial" w:eastAsia="Arial" w:hAnsi="Arial" w:cs="Arial"/>
                <w:strike/>
                <w:color w:val="FF0000"/>
                <w:sz w:val="20"/>
                <w:szCs w:val="20"/>
              </w:rPr>
            </w:pPr>
            <w:r w:rsidRPr="7D28183D">
              <w:rPr>
                <w:rFonts w:ascii="Arial" w:eastAsia="Arial" w:hAnsi="Arial" w:cs="Arial"/>
                <w:strike/>
                <w:color w:val="FF0000"/>
                <w:sz w:val="20"/>
                <w:szCs w:val="20"/>
              </w:rPr>
              <w:t xml:space="preserve">Rose, P. S. (2003) </w:t>
            </w:r>
            <w:r w:rsidRPr="7D28183D">
              <w:rPr>
                <w:rFonts w:ascii="Arial" w:eastAsia="Arial" w:hAnsi="Arial" w:cs="Arial"/>
                <w:i/>
                <w:iCs/>
                <w:strike/>
                <w:color w:val="FF0000"/>
                <w:sz w:val="20"/>
                <w:szCs w:val="20"/>
              </w:rPr>
              <w:t>Menadžment komercijalnih banaka</w:t>
            </w:r>
            <w:r w:rsidRPr="7D28183D">
              <w:rPr>
                <w:rFonts w:ascii="Arial" w:eastAsia="Arial" w:hAnsi="Arial" w:cs="Arial"/>
                <w:strike/>
                <w:color w:val="FF0000"/>
                <w:sz w:val="20"/>
                <w:szCs w:val="20"/>
              </w:rPr>
              <w:t xml:space="preserve">. Zagreb: MATE </w:t>
            </w:r>
            <w:r w:rsidRPr="7D28183D">
              <w:rPr>
                <w:rFonts w:ascii="Arial" w:eastAsia="Arial" w:hAnsi="Arial" w:cs="Arial"/>
                <w:strike/>
                <w:color w:val="FF0000"/>
                <w:sz w:val="20"/>
                <w:szCs w:val="20"/>
                <w:lang w:val="en-GB"/>
              </w:rPr>
              <w:t>or newer edition</w:t>
            </w:r>
            <w:r w:rsidRPr="7D28183D">
              <w:rPr>
                <w:rFonts w:ascii="Arial" w:eastAsia="Arial" w:hAnsi="Arial" w:cs="Arial"/>
                <w:strike/>
                <w:color w:val="FF0000"/>
                <w:sz w:val="20"/>
                <w:szCs w:val="20"/>
              </w:rPr>
              <w:t>.</w:t>
            </w:r>
          </w:p>
          <w:p w14:paraId="0DF32E7F" w14:textId="3FD114A2" w:rsidR="00D02F44" w:rsidRPr="004E1A6C" w:rsidRDefault="7D28183D" w:rsidP="7D28183D">
            <w:pPr>
              <w:tabs>
                <w:tab w:val="left" w:pos="2820"/>
              </w:tabs>
              <w:spacing w:after="0" w:line="240" w:lineRule="auto"/>
              <w:jc w:val="both"/>
              <w:rPr>
                <w:rFonts w:ascii="Arial" w:eastAsia="Arial" w:hAnsi="Arial" w:cs="Arial"/>
                <w:color w:val="FF0000"/>
                <w:sz w:val="20"/>
                <w:szCs w:val="20"/>
              </w:rPr>
            </w:pPr>
            <w:r w:rsidRPr="7D28183D">
              <w:rPr>
                <w:rFonts w:ascii="Arial" w:eastAsia="Arial" w:hAnsi="Arial" w:cs="Arial"/>
                <w:color w:val="FF0000"/>
                <w:sz w:val="20"/>
                <w:szCs w:val="20"/>
              </w:rPr>
              <w:t xml:space="preserve">Rose, P. S., </w:t>
            </w:r>
            <w:proofErr w:type="spellStart"/>
            <w:r w:rsidRPr="7D28183D">
              <w:rPr>
                <w:rFonts w:ascii="Arial" w:eastAsia="Arial" w:hAnsi="Arial" w:cs="Arial"/>
                <w:color w:val="FF0000"/>
                <w:sz w:val="20"/>
                <w:szCs w:val="20"/>
              </w:rPr>
              <w:t>Hudgins</w:t>
            </w:r>
            <w:proofErr w:type="spellEnd"/>
            <w:r w:rsidRPr="7D28183D">
              <w:rPr>
                <w:rFonts w:ascii="Arial" w:eastAsia="Arial" w:hAnsi="Arial" w:cs="Arial"/>
                <w:color w:val="FF0000"/>
                <w:sz w:val="20"/>
                <w:szCs w:val="20"/>
              </w:rPr>
              <w:t xml:space="preserve">, S. C. (2015) </w:t>
            </w:r>
            <w:r w:rsidRPr="7D28183D">
              <w:rPr>
                <w:rFonts w:ascii="Arial" w:eastAsia="Arial" w:hAnsi="Arial" w:cs="Arial"/>
                <w:i/>
                <w:iCs/>
                <w:color w:val="FF0000"/>
                <w:sz w:val="20"/>
                <w:szCs w:val="20"/>
              </w:rPr>
              <w:t>Upravljanje bankama i financijske usluge</w:t>
            </w:r>
            <w:r w:rsidRPr="7D28183D">
              <w:rPr>
                <w:rFonts w:ascii="Arial" w:eastAsia="Arial" w:hAnsi="Arial" w:cs="Arial"/>
                <w:color w:val="FF0000"/>
                <w:sz w:val="20"/>
                <w:szCs w:val="20"/>
              </w:rPr>
              <w:t xml:space="preserve">. Zagreb: MATE.  </w:t>
            </w:r>
          </w:p>
          <w:p w14:paraId="60279ABE" w14:textId="4353F4DF" w:rsidR="00D02F44" w:rsidRPr="004E1A6C" w:rsidRDefault="7D28183D" w:rsidP="7D28183D">
            <w:pPr>
              <w:tabs>
                <w:tab w:val="left" w:pos="2820"/>
              </w:tabs>
              <w:spacing w:after="0" w:line="240" w:lineRule="auto"/>
              <w:jc w:val="both"/>
              <w:rPr>
                <w:rFonts w:ascii="Arial" w:eastAsia="Arial" w:hAnsi="Arial" w:cs="Arial"/>
                <w:color w:val="FF0000"/>
                <w:sz w:val="20"/>
                <w:szCs w:val="20"/>
              </w:rPr>
            </w:pPr>
            <w:r w:rsidRPr="7D28183D">
              <w:rPr>
                <w:rFonts w:ascii="Arial" w:eastAsia="Arial" w:hAnsi="Arial" w:cs="Arial"/>
                <w:color w:val="FF0000"/>
                <w:sz w:val="20"/>
                <w:szCs w:val="20"/>
              </w:rPr>
              <w:t xml:space="preserve">Rose, P. S., </w:t>
            </w:r>
            <w:proofErr w:type="spellStart"/>
            <w:r w:rsidRPr="7D28183D">
              <w:rPr>
                <w:rFonts w:ascii="Arial" w:eastAsia="Arial" w:hAnsi="Arial" w:cs="Arial"/>
                <w:color w:val="FF0000"/>
                <w:sz w:val="20"/>
                <w:szCs w:val="20"/>
              </w:rPr>
              <w:t>Hudgins</w:t>
            </w:r>
            <w:proofErr w:type="spellEnd"/>
            <w:r w:rsidRPr="7D28183D">
              <w:rPr>
                <w:rFonts w:ascii="Arial" w:eastAsia="Arial" w:hAnsi="Arial" w:cs="Arial"/>
                <w:color w:val="FF0000"/>
                <w:sz w:val="20"/>
                <w:szCs w:val="20"/>
              </w:rPr>
              <w:t xml:space="preserve">, S. C. (2013) </w:t>
            </w:r>
            <w:r w:rsidRPr="7D28183D">
              <w:rPr>
                <w:rFonts w:ascii="Arial" w:eastAsia="Arial" w:hAnsi="Arial" w:cs="Arial"/>
                <w:i/>
                <w:iCs/>
                <w:color w:val="FF0000"/>
                <w:sz w:val="20"/>
                <w:szCs w:val="20"/>
              </w:rPr>
              <w:t xml:space="preserve">Bank Management &amp; Financial </w:t>
            </w:r>
            <w:proofErr w:type="spellStart"/>
            <w:r w:rsidRPr="7D28183D">
              <w:rPr>
                <w:rFonts w:ascii="Arial" w:eastAsia="Arial" w:hAnsi="Arial" w:cs="Arial"/>
                <w:i/>
                <w:iCs/>
                <w:color w:val="FF0000"/>
                <w:sz w:val="20"/>
                <w:szCs w:val="20"/>
              </w:rPr>
              <w:t>Services</w:t>
            </w:r>
            <w:proofErr w:type="spellEnd"/>
            <w:r w:rsidRPr="7D28183D">
              <w:rPr>
                <w:rFonts w:ascii="Arial" w:eastAsia="Arial" w:hAnsi="Arial" w:cs="Arial"/>
                <w:color w:val="FF0000"/>
                <w:sz w:val="20"/>
                <w:szCs w:val="20"/>
              </w:rPr>
              <w:t xml:space="preserve">. USA: </w:t>
            </w:r>
            <w:proofErr w:type="spellStart"/>
            <w:r w:rsidRPr="7D28183D">
              <w:rPr>
                <w:rFonts w:ascii="Arial" w:eastAsia="Arial" w:hAnsi="Arial" w:cs="Arial"/>
                <w:color w:val="FF0000"/>
                <w:sz w:val="20"/>
                <w:szCs w:val="20"/>
              </w:rPr>
              <w:t>McGraw-Hill</w:t>
            </w:r>
            <w:proofErr w:type="spellEnd"/>
            <w:r w:rsidRPr="7D28183D">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4F6060D0" w14:textId="02FBD748" w:rsidR="00D02F44" w:rsidRPr="004E1A6C" w:rsidRDefault="7D28183D" w:rsidP="7D28183D">
            <w:pPr>
              <w:tabs>
                <w:tab w:val="left" w:pos="2820"/>
              </w:tabs>
              <w:spacing w:after="0" w:line="240" w:lineRule="auto"/>
              <w:jc w:val="center"/>
              <w:rPr>
                <w:rFonts w:ascii="Arial" w:eastAsia="Arial" w:hAnsi="Arial" w:cs="Arial"/>
                <w:strike/>
                <w:color w:val="FF0000"/>
                <w:sz w:val="20"/>
                <w:szCs w:val="20"/>
              </w:rPr>
            </w:pPr>
            <w:r w:rsidRPr="7D28183D">
              <w:rPr>
                <w:rFonts w:ascii="Arial" w:eastAsia="Arial" w:hAnsi="Arial" w:cs="Arial"/>
                <w:strike/>
                <w:color w:val="FF0000"/>
                <w:sz w:val="20"/>
                <w:szCs w:val="20"/>
              </w:rPr>
              <w:t>6</w:t>
            </w:r>
          </w:p>
          <w:p w14:paraId="6A9513DA" w14:textId="643F9022" w:rsidR="00D02F44" w:rsidRPr="004E1A6C" w:rsidRDefault="00D02F44" w:rsidP="7D28183D">
            <w:pPr>
              <w:tabs>
                <w:tab w:val="left" w:pos="2820"/>
              </w:tabs>
              <w:spacing w:after="0" w:line="240" w:lineRule="auto"/>
              <w:jc w:val="center"/>
              <w:rPr>
                <w:rFonts w:ascii="Arial" w:eastAsia="Arial" w:hAnsi="Arial" w:cs="Arial"/>
                <w:color w:val="FF0000"/>
                <w:sz w:val="20"/>
                <w:szCs w:val="20"/>
              </w:rPr>
            </w:pPr>
          </w:p>
          <w:p w14:paraId="6A6859D7" w14:textId="4D0EF220" w:rsidR="00D02F44" w:rsidRPr="004E1A6C" w:rsidRDefault="7D28183D" w:rsidP="7D28183D">
            <w:pPr>
              <w:tabs>
                <w:tab w:val="left" w:pos="2820"/>
              </w:tabs>
              <w:spacing w:after="0" w:line="240" w:lineRule="auto"/>
              <w:jc w:val="center"/>
              <w:rPr>
                <w:rFonts w:ascii="Arial" w:eastAsia="Arial" w:hAnsi="Arial" w:cs="Arial"/>
                <w:color w:val="FF0000"/>
                <w:sz w:val="20"/>
                <w:szCs w:val="20"/>
              </w:rPr>
            </w:pPr>
            <w:r w:rsidRPr="7D28183D">
              <w:rPr>
                <w:rFonts w:ascii="Arial" w:eastAsia="Arial" w:hAnsi="Arial" w:cs="Arial"/>
                <w:color w:val="FF0000"/>
                <w:sz w:val="20"/>
                <w:szCs w:val="20"/>
              </w:rPr>
              <w:t>12</w:t>
            </w:r>
          </w:p>
        </w:tc>
        <w:tc>
          <w:tcPr>
            <w:tcW w:w="1518" w:type="dxa"/>
            <w:gridSpan w:val="4"/>
            <w:tcBorders>
              <w:left w:val="single" w:sz="8" w:space="0" w:color="auto"/>
              <w:right w:val="single" w:sz="12" w:space="0" w:color="auto"/>
            </w:tcBorders>
            <w:tcMar>
              <w:left w:w="57" w:type="dxa"/>
              <w:right w:w="57" w:type="dxa"/>
            </w:tcMar>
          </w:tcPr>
          <w:p w14:paraId="3B51E053" w14:textId="54DE62C9" w:rsidR="00D02F44" w:rsidRPr="004E1A6C" w:rsidRDefault="7D28183D" w:rsidP="7D28183D">
            <w:pPr>
              <w:tabs>
                <w:tab w:val="left" w:pos="2820"/>
              </w:tabs>
              <w:spacing w:after="0" w:line="240" w:lineRule="auto"/>
              <w:jc w:val="center"/>
              <w:rPr>
                <w:rFonts w:ascii="Arial" w:eastAsia="Arial" w:hAnsi="Arial" w:cs="Arial"/>
                <w:strike/>
                <w:color w:val="FF0000"/>
                <w:sz w:val="20"/>
                <w:szCs w:val="20"/>
              </w:rPr>
            </w:pPr>
            <w:r w:rsidRPr="7D28183D">
              <w:rPr>
                <w:rFonts w:ascii="Arial" w:eastAsia="Arial" w:hAnsi="Arial" w:cs="Arial"/>
                <w:strike/>
                <w:color w:val="FF0000"/>
                <w:sz w:val="20"/>
                <w:szCs w:val="20"/>
              </w:rPr>
              <w:t>/</w:t>
            </w:r>
          </w:p>
          <w:p w14:paraId="1896D996" w14:textId="3E55C9CA" w:rsidR="00D02F44" w:rsidRPr="004E1A6C" w:rsidRDefault="00D02F44" w:rsidP="7D28183D">
            <w:pPr>
              <w:tabs>
                <w:tab w:val="left" w:pos="2820"/>
              </w:tabs>
              <w:spacing w:after="0" w:line="240" w:lineRule="auto"/>
              <w:jc w:val="center"/>
              <w:rPr>
                <w:rFonts w:ascii="Arial" w:eastAsia="Arial" w:hAnsi="Arial" w:cs="Arial"/>
                <w:color w:val="FF0000"/>
                <w:sz w:val="20"/>
                <w:szCs w:val="20"/>
              </w:rPr>
            </w:pPr>
          </w:p>
          <w:p w14:paraId="404B7FBF" w14:textId="0F3F6811" w:rsidR="00D02F44" w:rsidRPr="004E1A6C" w:rsidRDefault="7D28183D" w:rsidP="7D28183D">
            <w:pPr>
              <w:tabs>
                <w:tab w:val="left" w:pos="2820"/>
              </w:tabs>
              <w:spacing w:after="0" w:line="240" w:lineRule="auto"/>
              <w:jc w:val="center"/>
              <w:rPr>
                <w:rFonts w:ascii="Arial" w:eastAsia="Arial" w:hAnsi="Arial" w:cs="Arial"/>
                <w:color w:val="FF0000"/>
                <w:sz w:val="20"/>
                <w:szCs w:val="20"/>
              </w:rPr>
            </w:pPr>
            <w:r w:rsidRPr="7D28183D">
              <w:rPr>
                <w:rFonts w:ascii="Arial" w:eastAsia="Arial" w:hAnsi="Arial" w:cs="Arial"/>
                <w:color w:val="FF0000"/>
                <w:sz w:val="20"/>
                <w:szCs w:val="20"/>
              </w:rPr>
              <w:t>/</w:t>
            </w:r>
          </w:p>
        </w:tc>
      </w:tr>
      <w:tr w:rsidR="004E1A6C" w:rsidRPr="004E1A6C" w14:paraId="09B5B697" w14:textId="77777777" w:rsidTr="7D28183D">
        <w:trPr>
          <w:trHeight w:val="75"/>
        </w:trPr>
        <w:tc>
          <w:tcPr>
            <w:tcW w:w="1912" w:type="dxa"/>
            <w:vMerge/>
            <w:tcMar>
              <w:left w:w="57" w:type="dxa"/>
              <w:right w:w="57" w:type="dxa"/>
            </w:tcMar>
            <w:vAlign w:val="center"/>
          </w:tcPr>
          <w:p w14:paraId="19A1F4B2"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5350171" w14:textId="77777777" w:rsidR="00D02F44" w:rsidRPr="004E1A6C" w:rsidRDefault="7D28183D" w:rsidP="7D28183D">
            <w:pPr>
              <w:tabs>
                <w:tab w:val="left" w:pos="2820"/>
              </w:tabs>
              <w:spacing w:after="0" w:line="240" w:lineRule="auto"/>
              <w:jc w:val="both"/>
              <w:rPr>
                <w:rFonts w:ascii="Arial" w:eastAsia="Arial" w:hAnsi="Arial" w:cs="Arial"/>
                <w:i/>
                <w:iCs/>
                <w:sz w:val="20"/>
                <w:szCs w:val="20"/>
              </w:rPr>
            </w:pPr>
            <w:r w:rsidRPr="7D28183D">
              <w:rPr>
                <w:rFonts w:ascii="Arial" w:eastAsia="Arial" w:hAnsi="Arial" w:cs="Arial"/>
                <w:sz w:val="20"/>
                <w:szCs w:val="20"/>
              </w:rPr>
              <w:t xml:space="preserve">Katunarić, A. (1988) </w:t>
            </w:r>
            <w:r w:rsidRPr="7D28183D">
              <w:rPr>
                <w:rFonts w:ascii="Arial" w:eastAsia="Arial" w:hAnsi="Arial" w:cs="Arial"/>
                <w:i/>
                <w:iCs/>
                <w:sz w:val="20"/>
                <w:szCs w:val="20"/>
              </w:rPr>
              <w:t>Banka - principi i praksa</w:t>
            </w:r>
          </w:p>
          <w:p w14:paraId="0D852F69"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i/>
                <w:iCs/>
                <w:sz w:val="20"/>
                <w:szCs w:val="20"/>
              </w:rPr>
              <w:t>bankovnog poslovanja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CiP</w:t>
            </w:r>
            <w:proofErr w:type="spellEnd"/>
            <w:r w:rsidRPr="7D28183D">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9787D3A"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2E68E8BF"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r>
      <w:tr w:rsidR="004E1A6C" w:rsidRPr="004E1A6C" w14:paraId="3B3952FC" w14:textId="77777777" w:rsidTr="7D28183D">
        <w:trPr>
          <w:trHeight w:val="75"/>
        </w:trPr>
        <w:tc>
          <w:tcPr>
            <w:tcW w:w="1912" w:type="dxa"/>
            <w:vMerge/>
            <w:tcMar>
              <w:left w:w="57" w:type="dxa"/>
              <w:right w:w="57" w:type="dxa"/>
            </w:tcMar>
            <w:vAlign w:val="center"/>
          </w:tcPr>
          <w:p w14:paraId="1B2A721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6858F0" w14:textId="77777777" w:rsidR="00D02F44" w:rsidRPr="004E1A6C" w:rsidRDefault="7D28183D" w:rsidP="7D28183D">
            <w:pPr>
              <w:tabs>
                <w:tab w:val="left" w:pos="2820"/>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Articles and materials selected for discussion and seminars.</w:t>
            </w:r>
          </w:p>
        </w:tc>
        <w:tc>
          <w:tcPr>
            <w:tcW w:w="1244" w:type="dxa"/>
            <w:gridSpan w:val="2"/>
            <w:tcBorders>
              <w:left w:val="single" w:sz="8" w:space="0" w:color="auto"/>
              <w:right w:val="single" w:sz="8" w:space="0" w:color="auto"/>
            </w:tcBorders>
            <w:tcMar>
              <w:left w:w="57" w:type="dxa"/>
              <w:right w:w="57" w:type="dxa"/>
            </w:tcMar>
          </w:tcPr>
          <w:p w14:paraId="2C28D4F1"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357DEEA7"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313F9EB0"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213170FB"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C80216" w14:textId="77777777" w:rsidR="00D02F44" w:rsidRPr="004E1A6C" w:rsidRDefault="7D28183D" w:rsidP="44143656">
            <w:pPr>
              <w:tabs>
                <w:tab w:val="left" w:pos="567"/>
              </w:tabs>
              <w:spacing w:after="0" w:line="240" w:lineRule="auto"/>
              <w:jc w:val="both"/>
              <w:rPr>
                <w:rFonts w:ascii="Arial" w:eastAsia="Arial" w:hAnsi="Arial" w:cs="Arial"/>
                <w:strike/>
                <w:color w:val="FF0000"/>
                <w:sz w:val="20"/>
                <w:szCs w:val="20"/>
              </w:rPr>
            </w:pPr>
            <w:proofErr w:type="spellStart"/>
            <w:r w:rsidRPr="7D28183D">
              <w:rPr>
                <w:rFonts w:ascii="Arial" w:eastAsia="Arial" w:hAnsi="Arial" w:cs="Arial"/>
                <w:strike/>
                <w:color w:val="FF0000"/>
                <w:sz w:val="20"/>
                <w:szCs w:val="20"/>
              </w:rPr>
              <w:t>Gregurek</w:t>
            </w:r>
            <w:proofErr w:type="spellEnd"/>
            <w:r w:rsidRPr="7D28183D">
              <w:rPr>
                <w:rFonts w:ascii="Arial" w:eastAsia="Arial" w:hAnsi="Arial" w:cs="Arial"/>
                <w:strike/>
                <w:color w:val="FF0000"/>
                <w:sz w:val="20"/>
                <w:szCs w:val="20"/>
              </w:rPr>
              <w:t xml:space="preserve">, M. i Vidaković, N. (2011) </w:t>
            </w:r>
            <w:r w:rsidRPr="7D28183D">
              <w:rPr>
                <w:rFonts w:ascii="Arial" w:eastAsia="Arial" w:hAnsi="Arial" w:cs="Arial"/>
                <w:i/>
                <w:iCs/>
                <w:strike/>
                <w:color w:val="FF0000"/>
                <w:sz w:val="20"/>
                <w:szCs w:val="20"/>
              </w:rPr>
              <w:t>Bankarsko poslovanje</w:t>
            </w:r>
            <w:r w:rsidRPr="7D28183D">
              <w:rPr>
                <w:rFonts w:ascii="Arial" w:eastAsia="Arial" w:hAnsi="Arial" w:cs="Arial"/>
                <w:strike/>
                <w:color w:val="FF0000"/>
                <w:sz w:val="20"/>
                <w:szCs w:val="20"/>
              </w:rPr>
              <w:t xml:space="preserve">. Zagreb: </w:t>
            </w:r>
            <w:proofErr w:type="spellStart"/>
            <w:r w:rsidRPr="7D28183D">
              <w:rPr>
                <w:rFonts w:ascii="Arial" w:eastAsia="Arial" w:hAnsi="Arial" w:cs="Arial"/>
                <w:strike/>
                <w:color w:val="FF0000"/>
                <w:sz w:val="20"/>
                <w:szCs w:val="20"/>
              </w:rPr>
              <w:t>RRiF</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or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newer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edition</w:t>
            </w:r>
            <w:proofErr w:type="spellEnd"/>
            <w:r w:rsidRPr="7D28183D">
              <w:rPr>
                <w:rFonts w:ascii="Arial" w:eastAsia="Arial" w:hAnsi="Arial" w:cs="Arial"/>
                <w:strike/>
                <w:color w:val="FF0000"/>
                <w:sz w:val="20"/>
                <w:szCs w:val="20"/>
              </w:rPr>
              <w:t>.</w:t>
            </w:r>
          </w:p>
          <w:p w14:paraId="72C18AE7" w14:textId="4D766128" w:rsidR="44143656"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Miller, L. R., </w:t>
            </w:r>
            <w:proofErr w:type="spellStart"/>
            <w:r w:rsidRPr="7D28183D">
              <w:rPr>
                <w:rFonts w:ascii="Arial" w:eastAsia="Arial" w:hAnsi="Arial" w:cs="Arial"/>
                <w:sz w:val="20"/>
                <w:szCs w:val="20"/>
              </w:rPr>
              <w:t>VanHoose</w:t>
            </w:r>
            <w:proofErr w:type="spellEnd"/>
            <w:r w:rsidRPr="7D28183D">
              <w:rPr>
                <w:rFonts w:ascii="Arial" w:eastAsia="Arial" w:hAnsi="Arial" w:cs="Arial"/>
                <w:sz w:val="20"/>
                <w:szCs w:val="20"/>
              </w:rPr>
              <w:t xml:space="preserve">, D. D. (1997) </w:t>
            </w:r>
            <w:r w:rsidRPr="7D28183D">
              <w:rPr>
                <w:rFonts w:ascii="Arial" w:eastAsia="Arial" w:hAnsi="Arial" w:cs="Arial"/>
                <w:i/>
                <w:iCs/>
                <w:sz w:val="20"/>
                <w:szCs w:val="20"/>
              </w:rPr>
              <w:t>Moderni novac i bankarstvo</w:t>
            </w:r>
            <w:r w:rsidRPr="7D28183D">
              <w:rPr>
                <w:rFonts w:ascii="Arial" w:eastAsia="Arial" w:hAnsi="Arial" w:cs="Arial"/>
                <w:sz w:val="20"/>
                <w:szCs w:val="20"/>
              </w:rPr>
              <w:t>. Zagreb: MATE.</w:t>
            </w:r>
          </w:p>
          <w:p w14:paraId="00E414FD" w14:textId="5907D810" w:rsidR="44143656" w:rsidRDefault="7D28183D" w:rsidP="44143656">
            <w:pPr>
              <w:tabs>
                <w:tab w:val="left" w:pos="567"/>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Lovrinović</w:t>
            </w:r>
            <w:proofErr w:type="spellEnd"/>
            <w:r w:rsidRPr="7D28183D">
              <w:rPr>
                <w:rFonts w:ascii="Arial" w:eastAsia="Arial" w:hAnsi="Arial" w:cs="Arial"/>
                <w:sz w:val="20"/>
                <w:szCs w:val="20"/>
              </w:rPr>
              <w:t xml:space="preserve">, I., Ivanov, M. (2009) </w:t>
            </w:r>
            <w:r w:rsidRPr="7D28183D">
              <w:rPr>
                <w:rFonts w:ascii="Arial" w:eastAsia="Arial" w:hAnsi="Arial" w:cs="Arial"/>
                <w:i/>
                <w:iCs/>
                <w:sz w:val="20"/>
                <w:szCs w:val="20"/>
              </w:rPr>
              <w:t>Monetarna politika</w:t>
            </w:r>
            <w:r w:rsidRPr="7D28183D">
              <w:rPr>
                <w:rFonts w:ascii="Arial" w:eastAsia="Arial" w:hAnsi="Arial" w:cs="Arial"/>
                <w:sz w:val="20"/>
                <w:szCs w:val="20"/>
              </w:rPr>
              <w:t xml:space="preserve">. </w:t>
            </w:r>
            <w:proofErr w:type="spellStart"/>
            <w:r w:rsidRPr="7D28183D">
              <w:rPr>
                <w:rFonts w:ascii="Arial" w:eastAsia="Arial" w:hAnsi="Arial" w:cs="Arial"/>
                <w:sz w:val="20"/>
                <w:szCs w:val="20"/>
              </w:rPr>
              <w:t>RRiF</w:t>
            </w:r>
            <w:proofErr w:type="spellEnd"/>
            <w:r w:rsidRPr="7D28183D">
              <w:rPr>
                <w:rFonts w:ascii="Arial" w:eastAsia="Arial" w:hAnsi="Arial" w:cs="Arial"/>
                <w:sz w:val="20"/>
                <w:szCs w:val="20"/>
              </w:rPr>
              <w:t xml:space="preserve"> plus: Zagreb.</w:t>
            </w:r>
          </w:p>
          <w:p w14:paraId="1404C29D" w14:textId="6FFE013A" w:rsidR="00D02F44" w:rsidRPr="004E1A6C"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Leko, V., </w:t>
            </w:r>
            <w:proofErr w:type="spellStart"/>
            <w:r w:rsidRPr="7D28183D">
              <w:rPr>
                <w:rFonts w:ascii="Arial" w:eastAsia="Arial" w:hAnsi="Arial" w:cs="Arial"/>
                <w:sz w:val="20"/>
                <w:szCs w:val="20"/>
              </w:rPr>
              <w:t>Božina</w:t>
            </w:r>
            <w:proofErr w:type="spellEnd"/>
            <w:r w:rsidRPr="7D28183D">
              <w:rPr>
                <w:rFonts w:ascii="Arial" w:eastAsia="Arial" w:hAnsi="Arial" w:cs="Arial"/>
                <w:sz w:val="20"/>
                <w:szCs w:val="20"/>
              </w:rPr>
              <w:t>, L. (</w:t>
            </w:r>
            <w:proofErr w:type="spellStart"/>
            <w:r w:rsidRPr="7D28183D">
              <w:rPr>
                <w:rFonts w:ascii="Arial" w:eastAsia="Arial" w:hAnsi="Arial" w:cs="Arial"/>
                <w:sz w:val="20"/>
                <w:szCs w:val="20"/>
              </w:rPr>
              <w:t>eds</w:t>
            </w:r>
            <w:proofErr w:type="spellEnd"/>
            <w:r w:rsidRPr="7D28183D">
              <w:rPr>
                <w:rFonts w:ascii="Arial" w:eastAsia="Arial" w:hAnsi="Arial" w:cs="Arial"/>
                <w:sz w:val="20"/>
                <w:szCs w:val="20"/>
              </w:rPr>
              <w:t xml:space="preserve">.) (2005) </w:t>
            </w:r>
            <w:r w:rsidRPr="7D28183D">
              <w:rPr>
                <w:rFonts w:ascii="Arial" w:eastAsia="Arial" w:hAnsi="Arial" w:cs="Arial"/>
                <w:i/>
                <w:iCs/>
                <w:sz w:val="20"/>
                <w:szCs w:val="20"/>
              </w:rPr>
              <w:t>Novac, bankarstvo i financijska tržišta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Adverta</w:t>
            </w:r>
            <w:proofErr w:type="spellEnd"/>
            <w:r w:rsidRPr="7D28183D">
              <w:rPr>
                <w:rFonts w:ascii="Arial" w:eastAsia="Arial" w:hAnsi="Arial" w:cs="Arial"/>
                <w:sz w:val="20"/>
                <w:szCs w:val="20"/>
              </w:rPr>
              <w:t>.</w:t>
            </w:r>
          </w:p>
          <w:p w14:paraId="42967AD3" w14:textId="00218061" w:rsidR="44143656" w:rsidRDefault="7D28183D" w:rsidP="44143656">
            <w:pPr>
              <w:tabs>
                <w:tab w:val="left" w:pos="567"/>
              </w:tabs>
              <w:spacing w:after="0" w:line="240" w:lineRule="auto"/>
              <w:jc w:val="both"/>
              <w:rPr>
                <w:rFonts w:ascii="Arial" w:eastAsia="Arial" w:hAnsi="Arial" w:cs="Arial"/>
                <w:color w:val="FF0000"/>
                <w:sz w:val="20"/>
                <w:szCs w:val="20"/>
              </w:rPr>
            </w:pPr>
            <w:proofErr w:type="spellStart"/>
            <w:r w:rsidRPr="7D28183D">
              <w:rPr>
                <w:rFonts w:ascii="Arial" w:eastAsia="Arial" w:hAnsi="Arial" w:cs="Arial"/>
                <w:color w:val="FF0000"/>
                <w:sz w:val="20"/>
                <w:szCs w:val="20"/>
              </w:rPr>
              <w:t>Fleuriet</w:t>
            </w:r>
            <w:proofErr w:type="spellEnd"/>
            <w:r w:rsidRPr="7D28183D">
              <w:rPr>
                <w:rFonts w:ascii="Arial" w:eastAsia="Arial" w:hAnsi="Arial" w:cs="Arial"/>
                <w:color w:val="FF0000"/>
                <w:sz w:val="20"/>
                <w:szCs w:val="20"/>
              </w:rPr>
              <w:t xml:space="preserve">, M. (2018) </w:t>
            </w:r>
            <w:proofErr w:type="spellStart"/>
            <w:r w:rsidRPr="7D28183D">
              <w:rPr>
                <w:rFonts w:ascii="Arial" w:eastAsia="Arial" w:hAnsi="Arial" w:cs="Arial"/>
                <w:i/>
                <w:iCs/>
                <w:color w:val="FF0000"/>
                <w:sz w:val="20"/>
                <w:szCs w:val="20"/>
              </w:rPr>
              <w:t>Investment</w:t>
            </w:r>
            <w:proofErr w:type="spellEnd"/>
            <w:r w:rsidRPr="7D28183D">
              <w:rPr>
                <w:rFonts w:ascii="Arial" w:eastAsia="Arial" w:hAnsi="Arial" w:cs="Arial"/>
                <w:i/>
                <w:iCs/>
                <w:color w:val="FF0000"/>
                <w:sz w:val="20"/>
                <w:szCs w:val="20"/>
              </w:rPr>
              <w:t xml:space="preserve"> Banking </w:t>
            </w:r>
            <w:proofErr w:type="spellStart"/>
            <w:r w:rsidRPr="7D28183D">
              <w:rPr>
                <w:rFonts w:ascii="Arial" w:eastAsia="Arial" w:hAnsi="Arial" w:cs="Arial"/>
                <w:i/>
                <w:iCs/>
                <w:color w:val="FF0000"/>
                <w:sz w:val="20"/>
                <w:szCs w:val="20"/>
              </w:rPr>
              <w:t>Explained</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An</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Insider's</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Guide</w:t>
            </w:r>
            <w:proofErr w:type="spellEnd"/>
            <w:r w:rsidRPr="7D28183D">
              <w:rPr>
                <w:rFonts w:ascii="Arial" w:eastAsia="Arial" w:hAnsi="Arial" w:cs="Arial"/>
                <w:i/>
                <w:iCs/>
                <w:color w:val="FF0000"/>
                <w:sz w:val="20"/>
                <w:szCs w:val="20"/>
              </w:rPr>
              <w:t xml:space="preserve"> to </w:t>
            </w:r>
            <w:proofErr w:type="spellStart"/>
            <w:r w:rsidRPr="7D28183D">
              <w:rPr>
                <w:rFonts w:ascii="Arial" w:eastAsia="Arial" w:hAnsi="Arial" w:cs="Arial"/>
                <w:i/>
                <w:iCs/>
                <w:color w:val="FF0000"/>
                <w:sz w:val="20"/>
                <w:szCs w:val="20"/>
              </w:rPr>
              <w:t>the</w:t>
            </w:r>
            <w:proofErr w:type="spellEnd"/>
            <w:r w:rsidRPr="7D28183D">
              <w:rPr>
                <w:rFonts w:ascii="Arial" w:eastAsia="Arial" w:hAnsi="Arial" w:cs="Arial"/>
                <w:i/>
                <w:iCs/>
                <w:color w:val="FF0000"/>
                <w:sz w:val="20"/>
                <w:szCs w:val="20"/>
              </w:rPr>
              <w:t xml:space="preserve"> </w:t>
            </w:r>
            <w:proofErr w:type="spellStart"/>
            <w:r w:rsidRPr="7D28183D">
              <w:rPr>
                <w:rFonts w:ascii="Arial" w:eastAsia="Arial" w:hAnsi="Arial" w:cs="Arial"/>
                <w:i/>
                <w:iCs/>
                <w:color w:val="FF0000"/>
                <w:sz w:val="20"/>
                <w:szCs w:val="20"/>
              </w:rPr>
              <w:t>Industry</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McGraw</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Hill</w:t>
            </w:r>
            <w:proofErr w:type="spellEnd"/>
            <w:r w:rsidRPr="7D28183D">
              <w:rPr>
                <w:rFonts w:ascii="Arial" w:eastAsia="Arial" w:hAnsi="Arial" w:cs="Arial"/>
                <w:color w:val="FF0000"/>
                <w:sz w:val="20"/>
                <w:szCs w:val="20"/>
              </w:rPr>
              <w:t xml:space="preserve">. </w:t>
            </w:r>
          </w:p>
          <w:p w14:paraId="2DF7A0AF" w14:textId="70C83FAF" w:rsidR="44143656" w:rsidRDefault="7D28183D" w:rsidP="44143656">
            <w:pPr>
              <w:tabs>
                <w:tab w:val="left" w:pos="567"/>
              </w:tabs>
              <w:spacing w:after="0" w:line="240" w:lineRule="auto"/>
              <w:jc w:val="both"/>
              <w:rPr>
                <w:rFonts w:ascii="Arial" w:eastAsia="Arial" w:hAnsi="Arial" w:cs="Arial"/>
                <w:color w:val="FF0000"/>
                <w:sz w:val="20"/>
                <w:szCs w:val="20"/>
              </w:rPr>
            </w:pPr>
            <w:proofErr w:type="spellStart"/>
            <w:r w:rsidRPr="7D28183D">
              <w:rPr>
                <w:rFonts w:ascii="Arial" w:eastAsia="Arial" w:hAnsi="Arial" w:cs="Arial"/>
                <w:color w:val="FF0000"/>
                <w:sz w:val="20"/>
                <w:szCs w:val="20"/>
              </w:rPr>
              <w:t>Saunders</w:t>
            </w:r>
            <w:proofErr w:type="spellEnd"/>
            <w:r w:rsidRPr="7D28183D">
              <w:rPr>
                <w:rFonts w:ascii="Arial" w:eastAsia="Arial" w:hAnsi="Arial" w:cs="Arial"/>
                <w:color w:val="FF0000"/>
                <w:sz w:val="20"/>
                <w:szCs w:val="20"/>
              </w:rPr>
              <w:t xml:space="preserve">, A., </w:t>
            </w:r>
            <w:proofErr w:type="spellStart"/>
            <w:r w:rsidRPr="7D28183D">
              <w:rPr>
                <w:rFonts w:ascii="Arial" w:eastAsia="Arial" w:hAnsi="Arial" w:cs="Arial"/>
                <w:color w:val="FF0000"/>
                <w:sz w:val="20"/>
                <w:szCs w:val="20"/>
              </w:rPr>
              <w:t>Millon</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Cornett</w:t>
            </w:r>
            <w:proofErr w:type="spellEnd"/>
            <w:r w:rsidRPr="7D28183D">
              <w:rPr>
                <w:rFonts w:ascii="Arial" w:eastAsia="Arial" w:hAnsi="Arial" w:cs="Arial"/>
                <w:color w:val="FF0000"/>
                <w:sz w:val="20"/>
                <w:szCs w:val="20"/>
              </w:rPr>
              <w:t xml:space="preserve">, M., </w:t>
            </w:r>
            <w:proofErr w:type="spellStart"/>
            <w:r w:rsidRPr="7D28183D">
              <w:rPr>
                <w:rFonts w:ascii="Arial" w:eastAsia="Arial" w:hAnsi="Arial" w:cs="Arial"/>
                <w:color w:val="FF0000"/>
                <w:sz w:val="20"/>
                <w:szCs w:val="20"/>
              </w:rPr>
              <w:t>Erhemjamts</w:t>
            </w:r>
            <w:proofErr w:type="spellEnd"/>
            <w:r w:rsidRPr="7D28183D">
              <w:rPr>
                <w:rFonts w:ascii="Arial" w:eastAsia="Arial" w:hAnsi="Arial" w:cs="Arial"/>
                <w:color w:val="FF0000"/>
                <w:sz w:val="20"/>
                <w:szCs w:val="20"/>
              </w:rPr>
              <w:t xml:space="preserve">, O. (2020) </w:t>
            </w:r>
            <w:r w:rsidRPr="7D28183D">
              <w:rPr>
                <w:rFonts w:ascii="Arial" w:eastAsia="Arial" w:hAnsi="Arial" w:cs="Arial"/>
                <w:i/>
                <w:iCs/>
                <w:color w:val="FF0000"/>
                <w:sz w:val="20"/>
                <w:szCs w:val="20"/>
              </w:rPr>
              <w:t xml:space="preserve">Financial </w:t>
            </w:r>
            <w:proofErr w:type="spellStart"/>
            <w:r w:rsidRPr="7D28183D">
              <w:rPr>
                <w:rFonts w:ascii="Arial" w:eastAsia="Arial" w:hAnsi="Arial" w:cs="Arial"/>
                <w:i/>
                <w:iCs/>
                <w:color w:val="FF0000"/>
                <w:sz w:val="20"/>
                <w:szCs w:val="20"/>
              </w:rPr>
              <w:t>Institutions</w:t>
            </w:r>
            <w:proofErr w:type="spellEnd"/>
            <w:r w:rsidRPr="7D28183D">
              <w:rPr>
                <w:rFonts w:ascii="Arial" w:eastAsia="Arial" w:hAnsi="Arial" w:cs="Arial"/>
                <w:i/>
                <w:iCs/>
                <w:color w:val="FF0000"/>
                <w:sz w:val="20"/>
                <w:szCs w:val="20"/>
              </w:rPr>
              <w:t xml:space="preserve"> Management: A </w:t>
            </w:r>
            <w:proofErr w:type="spellStart"/>
            <w:r w:rsidRPr="7D28183D">
              <w:rPr>
                <w:rFonts w:ascii="Arial" w:eastAsia="Arial" w:hAnsi="Arial" w:cs="Arial"/>
                <w:i/>
                <w:iCs/>
                <w:color w:val="FF0000"/>
                <w:sz w:val="20"/>
                <w:szCs w:val="20"/>
              </w:rPr>
              <w:t>Risk</w:t>
            </w:r>
            <w:proofErr w:type="spellEnd"/>
            <w:r w:rsidRPr="7D28183D">
              <w:rPr>
                <w:rFonts w:ascii="Arial" w:eastAsia="Arial" w:hAnsi="Arial" w:cs="Arial"/>
                <w:i/>
                <w:iCs/>
                <w:color w:val="FF0000"/>
                <w:sz w:val="20"/>
                <w:szCs w:val="20"/>
              </w:rPr>
              <w:t xml:space="preserve"> Management </w:t>
            </w:r>
            <w:proofErr w:type="spellStart"/>
            <w:r w:rsidRPr="7D28183D">
              <w:rPr>
                <w:rFonts w:ascii="Arial" w:eastAsia="Arial" w:hAnsi="Arial" w:cs="Arial"/>
                <w:i/>
                <w:iCs/>
                <w:color w:val="FF0000"/>
                <w:sz w:val="20"/>
                <w:szCs w:val="20"/>
              </w:rPr>
              <w:t>Approach</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McGraw-Hill</w:t>
            </w:r>
            <w:proofErr w:type="spellEnd"/>
            <w:r w:rsidRPr="7D28183D">
              <w:rPr>
                <w:rFonts w:ascii="Arial" w:eastAsia="Arial" w:hAnsi="Arial" w:cs="Arial"/>
                <w:color w:val="FF0000"/>
                <w:sz w:val="20"/>
                <w:szCs w:val="20"/>
              </w:rPr>
              <w:t xml:space="preserve"> </w:t>
            </w:r>
            <w:proofErr w:type="spellStart"/>
            <w:r w:rsidRPr="7D28183D">
              <w:rPr>
                <w:rFonts w:ascii="Arial" w:eastAsia="Arial" w:hAnsi="Arial" w:cs="Arial"/>
                <w:color w:val="FF0000"/>
                <w:sz w:val="20"/>
                <w:szCs w:val="20"/>
              </w:rPr>
              <w:t>Education</w:t>
            </w:r>
            <w:proofErr w:type="spellEnd"/>
            <w:r w:rsidRPr="7D28183D">
              <w:rPr>
                <w:rFonts w:ascii="Arial" w:eastAsia="Arial" w:hAnsi="Arial" w:cs="Arial"/>
                <w:color w:val="FF0000"/>
                <w:sz w:val="20"/>
                <w:szCs w:val="20"/>
              </w:rPr>
              <w:t>.</w:t>
            </w:r>
          </w:p>
          <w:p w14:paraId="7D2A0FD4" w14:textId="77777777" w:rsidR="00D02F44" w:rsidRPr="004E1A6C" w:rsidRDefault="7D28183D" w:rsidP="44143656">
            <w:pPr>
              <w:tabs>
                <w:tab w:val="left" w:pos="567"/>
              </w:tabs>
              <w:spacing w:after="0" w:line="240" w:lineRule="auto"/>
              <w:jc w:val="both"/>
              <w:rPr>
                <w:rFonts w:ascii="Arial" w:eastAsia="Arial" w:hAnsi="Arial" w:cs="Arial"/>
                <w:strike/>
                <w:color w:val="FF0000"/>
                <w:sz w:val="20"/>
                <w:szCs w:val="20"/>
              </w:rPr>
            </w:pPr>
            <w:proofErr w:type="spellStart"/>
            <w:r w:rsidRPr="7D28183D">
              <w:rPr>
                <w:rFonts w:ascii="Arial" w:eastAsia="Arial" w:hAnsi="Arial" w:cs="Arial"/>
                <w:strike/>
                <w:color w:val="FF0000"/>
                <w:sz w:val="20"/>
                <w:szCs w:val="20"/>
              </w:rPr>
              <w:t>Mishkin</w:t>
            </w:r>
            <w:proofErr w:type="spellEnd"/>
            <w:r w:rsidRPr="7D28183D">
              <w:rPr>
                <w:rFonts w:ascii="Arial" w:eastAsia="Arial" w:hAnsi="Arial" w:cs="Arial"/>
                <w:strike/>
                <w:color w:val="FF0000"/>
                <w:sz w:val="20"/>
                <w:szCs w:val="20"/>
              </w:rPr>
              <w:t xml:space="preserve">, F. S. i </w:t>
            </w:r>
            <w:proofErr w:type="spellStart"/>
            <w:r w:rsidRPr="7D28183D">
              <w:rPr>
                <w:rFonts w:ascii="Arial" w:eastAsia="Arial" w:hAnsi="Arial" w:cs="Arial"/>
                <w:strike/>
                <w:color w:val="FF0000"/>
                <w:sz w:val="20"/>
                <w:szCs w:val="20"/>
              </w:rPr>
              <w:t>Eakins</w:t>
            </w:r>
            <w:proofErr w:type="spellEnd"/>
            <w:r w:rsidRPr="7D28183D">
              <w:rPr>
                <w:rFonts w:ascii="Arial" w:eastAsia="Arial" w:hAnsi="Arial" w:cs="Arial"/>
                <w:strike/>
                <w:color w:val="FF0000"/>
                <w:sz w:val="20"/>
                <w:szCs w:val="20"/>
              </w:rPr>
              <w:t xml:space="preserve">, S. G. (2005) </w:t>
            </w:r>
            <w:r w:rsidRPr="7D28183D">
              <w:rPr>
                <w:rFonts w:ascii="Arial" w:eastAsia="Arial" w:hAnsi="Arial" w:cs="Arial"/>
                <w:i/>
                <w:iCs/>
                <w:strike/>
                <w:color w:val="FF0000"/>
                <w:sz w:val="20"/>
                <w:szCs w:val="20"/>
              </w:rPr>
              <w:t>Financijska tržišta + institucije</w:t>
            </w:r>
            <w:r w:rsidRPr="7D28183D">
              <w:rPr>
                <w:rFonts w:ascii="Arial" w:eastAsia="Arial" w:hAnsi="Arial" w:cs="Arial"/>
                <w:strike/>
                <w:color w:val="FF0000"/>
                <w:sz w:val="20"/>
                <w:szCs w:val="20"/>
              </w:rPr>
              <w:t>. Zagreb: MATE (</w:t>
            </w:r>
            <w:proofErr w:type="spellStart"/>
            <w:r w:rsidRPr="7D28183D">
              <w:rPr>
                <w:rFonts w:ascii="Arial" w:eastAsia="Arial" w:hAnsi="Arial" w:cs="Arial"/>
                <w:strike/>
                <w:color w:val="FF0000"/>
                <w:sz w:val="20"/>
                <w:szCs w:val="20"/>
              </w:rPr>
              <w:t>or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newer</w:t>
            </w:r>
            <w:proofErr w:type="spellEnd"/>
            <w:r w:rsidRPr="7D28183D">
              <w:rPr>
                <w:rFonts w:ascii="Arial" w:eastAsia="Arial" w:hAnsi="Arial" w:cs="Arial"/>
                <w:strike/>
                <w:color w:val="FF0000"/>
                <w:sz w:val="20"/>
                <w:szCs w:val="20"/>
              </w:rPr>
              <w:t xml:space="preserve"> </w:t>
            </w:r>
            <w:proofErr w:type="spellStart"/>
            <w:r w:rsidRPr="7D28183D">
              <w:rPr>
                <w:rFonts w:ascii="Arial" w:eastAsia="Arial" w:hAnsi="Arial" w:cs="Arial"/>
                <w:strike/>
                <w:color w:val="FF0000"/>
                <w:sz w:val="20"/>
                <w:szCs w:val="20"/>
              </w:rPr>
              <w:t>edition</w:t>
            </w:r>
            <w:proofErr w:type="spellEnd"/>
            <w:r w:rsidRPr="7D28183D">
              <w:rPr>
                <w:rFonts w:ascii="Arial" w:eastAsia="Arial" w:hAnsi="Arial" w:cs="Arial"/>
                <w:strike/>
                <w:color w:val="FF0000"/>
                <w:sz w:val="20"/>
                <w:szCs w:val="20"/>
              </w:rPr>
              <w:t>).</w:t>
            </w:r>
          </w:p>
          <w:p w14:paraId="51AE22DD" w14:textId="77777777" w:rsidR="00D02F44" w:rsidRPr="004E1A6C" w:rsidRDefault="7D28183D" w:rsidP="44143656">
            <w:pPr>
              <w:tabs>
                <w:tab w:val="left" w:pos="567"/>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Official website of the Croatian National Bank.</w:t>
            </w:r>
          </w:p>
          <w:p w14:paraId="207C5307" w14:textId="77777777" w:rsidR="00D02F44" w:rsidRPr="004E1A6C" w:rsidRDefault="7D28183D" w:rsidP="44143656">
            <w:pPr>
              <w:tabs>
                <w:tab w:val="left" w:pos="567"/>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Official website of the European System of Central Banks.</w:t>
            </w:r>
          </w:p>
          <w:p w14:paraId="5C89E5BE" w14:textId="77777777" w:rsidR="00D02F44" w:rsidRPr="004E1A6C" w:rsidRDefault="7D28183D" w:rsidP="44143656">
            <w:pPr>
              <w:tabs>
                <w:tab w:val="left" w:pos="567"/>
              </w:tabs>
              <w:spacing w:after="0" w:line="240" w:lineRule="auto"/>
              <w:jc w:val="both"/>
              <w:rPr>
                <w:rFonts w:ascii="Arial" w:eastAsia="Arial" w:hAnsi="Arial" w:cs="Arial"/>
                <w:strike/>
                <w:sz w:val="20"/>
                <w:szCs w:val="20"/>
              </w:rPr>
            </w:pPr>
            <w:r w:rsidRPr="7D28183D">
              <w:rPr>
                <w:rFonts w:ascii="Arial" w:eastAsia="Arial" w:hAnsi="Arial" w:cs="Arial"/>
                <w:sz w:val="20"/>
                <w:szCs w:val="20"/>
                <w:lang w:val="en-GB"/>
              </w:rPr>
              <w:t>Official website of the Federal Reserve System.</w:t>
            </w:r>
          </w:p>
        </w:tc>
      </w:tr>
      <w:tr w:rsidR="004E1A6C" w:rsidRPr="004E1A6C" w14:paraId="7363C8F0" w14:textId="77777777" w:rsidTr="7D28183D">
        <w:tc>
          <w:tcPr>
            <w:tcW w:w="1912" w:type="dxa"/>
            <w:tcBorders>
              <w:left w:val="single" w:sz="12" w:space="0" w:color="auto"/>
            </w:tcBorders>
            <w:shd w:val="clear" w:color="auto" w:fill="CCFFFF"/>
            <w:tcMar>
              <w:left w:w="57" w:type="dxa"/>
              <w:right w:w="57" w:type="dxa"/>
            </w:tcMar>
            <w:vAlign w:val="center"/>
          </w:tcPr>
          <w:p w14:paraId="70B798A8"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E685340"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Monitoring the class attendance and execution of other student’s obligations (Teacher)</w:t>
            </w:r>
          </w:p>
          <w:p w14:paraId="134E9F96"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Teaching Supervision (The Vice-Dean for academic and student affairs)</w:t>
            </w:r>
          </w:p>
          <w:p w14:paraId="4A4CEF18"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Analysis of the studying performance for all courses of the study program (The Vice-Dean for academic and student affairs)</w:t>
            </w:r>
          </w:p>
          <w:p w14:paraId="047D4F01"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Student survey on the quality of teachers and teaching for each course of the study program (UNIST, Centre for Quality Improvement)</w:t>
            </w:r>
          </w:p>
          <w:p w14:paraId="564C8053"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 xml:space="preserve">All learning outcomes of the course are examined by the examination conducted by the course teacher. </w:t>
            </w:r>
          </w:p>
          <w:p w14:paraId="4FE3DB60"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lastRenderedPageBreak/>
              <w:t>Periodic examination of the content of the exam is conducted in order to verify the appropriateness of the method of validating the learning outcomes (The Vice-Dean for academic and student affairs).</w:t>
            </w:r>
          </w:p>
        </w:tc>
      </w:tr>
      <w:tr w:rsidR="004E1A6C" w:rsidRPr="004E1A6C" w14:paraId="1017768C"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5620A1F0"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CF14CAE" w14:textId="77777777" w:rsidR="00D02F44" w:rsidRPr="004E1A6C" w:rsidRDefault="00F517F0" w:rsidP="00F517F0">
            <w:pPr>
              <w:pStyle w:val="ListParagraph"/>
              <w:tabs>
                <w:tab w:val="left" w:pos="2820"/>
              </w:tabs>
              <w:spacing w:after="0" w:line="240" w:lineRule="auto"/>
              <w:ind w:left="0"/>
              <w:contextualSpacing w:val="0"/>
              <w:rPr>
                <w:rFonts w:ascii="Arial" w:hAnsi="Arial" w:cs="Arial"/>
                <w:sz w:val="20"/>
                <w:szCs w:val="20"/>
                <w:lang w:val="en-GB"/>
              </w:rPr>
            </w:pPr>
            <w:r w:rsidRPr="004E1A6C">
              <w:rPr>
                <w:rFonts w:ascii="Arial" w:hAnsi="Arial" w:cs="Arial"/>
                <w:sz w:val="20"/>
                <w:szCs w:val="20"/>
                <w:lang w:val="en-GB"/>
              </w:rPr>
              <w:t>Lectures in Croatian l</w:t>
            </w:r>
            <w:r w:rsidR="00D02F44" w:rsidRPr="004E1A6C">
              <w:rPr>
                <w:rFonts w:ascii="Arial" w:hAnsi="Arial" w:cs="Arial"/>
                <w:sz w:val="20"/>
                <w:szCs w:val="20"/>
                <w:lang w:val="en-GB"/>
              </w:rPr>
              <w:t>anguage.</w:t>
            </w:r>
          </w:p>
        </w:tc>
      </w:tr>
    </w:tbl>
    <w:p w14:paraId="6F2B8956" w14:textId="77777777" w:rsidR="00431C20" w:rsidRPr="00BB522C" w:rsidRDefault="00431C20" w:rsidP="00CD3956">
      <w:pPr>
        <w:spacing w:after="0" w:line="240" w:lineRule="auto"/>
        <w:rPr>
          <w:color w:val="000000" w:themeColor="text1"/>
        </w:rPr>
      </w:pPr>
    </w:p>
    <w:sectPr w:rsidR="00431C20" w:rsidRPr="00BB522C"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CFE6C" w14:textId="77777777" w:rsidR="002A4BA8" w:rsidRDefault="002A4BA8" w:rsidP="007868FB">
      <w:pPr>
        <w:spacing w:after="0" w:line="240" w:lineRule="auto"/>
      </w:pPr>
      <w:r>
        <w:separator/>
      </w:r>
    </w:p>
  </w:endnote>
  <w:endnote w:type="continuationSeparator" w:id="0">
    <w:p w14:paraId="6833D7D3" w14:textId="77777777" w:rsidR="002A4BA8" w:rsidRDefault="002A4BA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EFA8A" w14:textId="15BE207B" w:rsidR="00485974" w:rsidRPr="00485974" w:rsidRDefault="007258CF" w:rsidP="00485974">
    <w:pPr>
      <w:pStyle w:val="Footer"/>
    </w:pPr>
    <w:r>
      <w:t>2021./2022.</w:t>
    </w:r>
    <w:r>
      <w:br/>
      <w:t>01/03/22 – 9</w:t>
    </w:r>
    <w:r w:rsidR="00485974" w:rsidRPr="00485974">
      <w:t xml:space="preserve">. </w:t>
    </w:r>
    <w:proofErr w:type="spellStart"/>
    <w:r w:rsidR="00485974" w:rsidRPr="00485974">
      <w:t>Sj</w:t>
    </w:r>
    <w:proofErr w:type="spellEnd"/>
    <w:r w:rsidR="00485974" w:rsidRPr="00485974">
      <w:t>.</w:t>
    </w:r>
    <w:r>
      <w:t xml:space="preserve"> </w:t>
    </w:r>
    <w:r w:rsidR="00485974" w:rsidRPr="00485974">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6ECAC" w14:textId="77777777" w:rsidR="002A4BA8" w:rsidRDefault="002A4BA8" w:rsidP="007868FB">
      <w:pPr>
        <w:spacing w:after="0" w:line="240" w:lineRule="auto"/>
      </w:pPr>
      <w:r>
        <w:separator/>
      </w:r>
    </w:p>
  </w:footnote>
  <w:footnote w:type="continuationSeparator" w:id="0">
    <w:p w14:paraId="7D8E4411" w14:textId="77777777" w:rsidR="002A4BA8" w:rsidRDefault="002A4BA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6338C"/>
    <w:rsid w:val="00083B16"/>
    <w:rsid w:val="00085B08"/>
    <w:rsid w:val="000A4A59"/>
    <w:rsid w:val="000A51BB"/>
    <w:rsid w:val="000D4994"/>
    <w:rsid w:val="0018652B"/>
    <w:rsid w:val="001F1E7A"/>
    <w:rsid w:val="00213AD0"/>
    <w:rsid w:val="00234DB5"/>
    <w:rsid w:val="002A4BA8"/>
    <w:rsid w:val="002C480B"/>
    <w:rsid w:val="002D6408"/>
    <w:rsid w:val="002F37C3"/>
    <w:rsid w:val="00322EBB"/>
    <w:rsid w:val="00324EBD"/>
    <w:rsid w:val="00337743"/>
    <w:rsid w:val="003E1DE4"/>
    <w:rsid w:val="00403D38"/>
    <w:rsid w:val="00431C20"/>
    <w:rsid w:val="00445ACD"/>
    <w:rsid w:val="004517F9"/>
    <w:rsid w:val="00485974"/>
    <w:rsid w:val="004E1A6C"/>
    <w:rsid w:val="00503418"/>
    <w:rsid w:val="0052512C"/>
    <w:rsid w:val="00577246"/>
    <w:rsid w:val="005806CF"/>
    <w:rsid w:val="005A3303"/>
    <w:rsid w:val="005B499C"/>
    <w:rsid w:val="005E5BDB"/>
    <w:rsid w:val="00605B58"/>
    <w:rsid w:val="0062591B"/>
    <w:rsid w:val="0065610E"/>
    <w:rsid w:val="006962AE"/>
    <w:rsid w:val="007258CF"/>
    <w:rsid w:val="00772CB5"/>
    <w:rsid w:val="00775D22"/>
    <w:rsid w:val="007868FB"/>
    <w:rsid w:val="007A1166"/>
    <w:rsid w:val="007D53AA"/>
    <w:rsid w:val="007F378B"/>
    <w:rsid w:val="007F518E"/>
    <w:rsid w:val="00843CD5"/>
    <w:rsid w:val="008809E1"/>
    <w:rsid w:val="008A68E1"/>
    <w:rsid w:val="008E34CE"/>
    <w:rsid w:val="00904D35"/>
    <w:rsid w:val="009120B1"/>
    <w:rsid w:val="0094298A"/>
    <w:rsid w:val="00954F64"/>
    <w:rsid w:val="00A00427"/>
    <w:rsid w:val="00A24E19"/>
    <w:rsid w:val="00A603DB"/>
    <w:rsid w:val="00A729E0"/>
    <w:rsid w:val="00A8067F"/>
    <w:rsid w:val="00AA276E"/>
    <w:rsid w:val="00AA654F"/>
    <w:rsid w:val="00AF71EC"/>
    <w:rsid w:val="00B033EC"/>
    <w:rsid w:val="00B05115"/>
    <w:rsid w:val="00B4513F"/>
    <w:rsid w:val="00B57CCB"/>
    <w:rsid w:val="00B67562"/>
    <w:rsid w:val="00B83159"/>
    <w:rsid w:val="00BB522C"/>
    <w:rsid w:val="00C07CDB"/>
    <w:rsid w:val="00C67895"/>
    <w:rsid w:val="00C836CD"/>
    <w:rsid w:val="00C96032"/>
    <w:rsid w:val="00CB5753"/>
    <w:rsid w:val="00CD23B3"/>
    <w:rsid w:val="00CD3956"/>
    <w:rsid w:val="00CF10DC"/>
    <w:rsid w:val="00D02F44"/>
    <w:rsid w:val="00D26FC4"/>
    <w:rsid w:val="00D548EA"/>
    <w:rsid w:val="00D750F9"/>
    <w:rsid w:val="00D752BB"/>
    <w:rsid w:val="00D84950"/>
    <w:rsid w:val="00DB4CDD"/>
    <w:rsid w:val="00E03C98"/>
    <w:rsid w:val="00E6666E"/>
    <w:rsid w:val="00EB31A8"/>
    <w:rsid w:val="00ED7B7E"/>
    <w:rsid w:val="00EF48A1"/>
    <w:rsid w:val="00F517F0"/>
    <w:rsid w:val="00F645F4"/>
    <w:rsid w:val="00F872C5"/>
    <w:rsid w:val="44143656"/>
    <w:rsid w:val="7D2818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DE0E1"/>
  <w15:docId w15:val="{342FFA0F-139E-4004-AD8E-DC199D2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57C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C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84156">
      <w:bodyDiv w:val="1"/>
      <w:marLeft w:val="0"/>
      <w:marRight w:val="0"/>
      <w:marTop w:val="0"/>
      <w:marBottom w:val="0"/>
      <w:divBdr>
        <w:top w:val="none" w:sz="0" w:space="0" w:color="auto"/>
        <w:left w:val="none" w:sz="0" w:space="0" w:color="auto"/>
        <w:bottom w:val="none" w:sz="0" w:space="0" w:color="auto"/>
        <w:right w:val="none" w:sz="0" w:space="0" w:color="auto"/>
      </w:divBdr>
    </w:div>
    <w:div w:id="157354148">
      <w:bodyDiv w:val="1"/>
      <w:marLeft w:val="0"/>
      <w:marRight w:val="0"/>
      <w:marTop w:val="0"/>
      <w:marBottom w:val="0"/>
      <w:divBdr>
        <w:top w:val="none" w:sz="0" w:space="0" w:color="auto"/>
        <w:left w:val="none" w:sz="0" w:space="0" w:color="auto"/>
        <w:bottom w:val="none" w:sz="0" w:space="0" w:color="auto"/>
        <w:right w:val="none" w:sz="0" w:space="0" w:color="auto"/>
      </w:divBdr>
    </w:div>
    <w:div w:id="21013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1412</Words>
  <Characters>8055</Characters>
  <Application>Microsoft Office Word</Application>
  <DocSecurity>0</DocSecurity>
  <Lines>67</Lines>
  <Paragraphs>18</Paragraphs>
  <ScaleCrop>false</ScaleCrop>
  <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8</cp:revision>
  <cp:lastPrinted>2018-10-09T13:30:00Z</cp:lastPrinted>
  <dcterms:created xsi:type="dcterms:W3CDTF">2021-10-22T17:28:00Z</dcterms:created>
  <dcterms:modified xsi:type="dcterms:W3CDTF">2022-09-22T16:36:00Z</dcterms:modified>
</cp:coreProperties>
</file>